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FDCCAD" w14:textId="77777777" w:rsidR="00D80E44" w:rsidRDefault="004530DE">
      <w:pPr>
        <w:keepNext/>
        <w:spacing w:before="800" w:after="180"/>
      </w:pPr>
      <w:r>
        <w:rPr>
          <w:rFonts w:cs="Calibri"/>
          <w:color w:val="F25022"/>
          <w:sz w:val="72"/>
        </w:rPr>
        <w:t>KI-Governance und Copilot-Einsatz im Unternehmen</w:t>
      </w:r>
    </w:p>
    <w:p w14:paraId="74A1C756" w14:textId="77777777" w:rsidR="00D80E44" w:rsidRDefault="004530DE">
      <w:pPr>
        <w:spacing w:after="520"/>
      </w:pPr>
      <w:r>
        <w:rPr>
          <w:rFonts w:cs="Calibri"/>
          <w:color w:val="666666"/>
          <w:sz w:val="30"/>
        </w:rPr>
        <w:t>Praxisleitfaden, Nutzungsleitlinie und Maßnahmenkatalog für Microsoft 365 Copilot</w:t>
      </w:r>
    </w:p>
    <w:p w14:paraId="7D69292F" w14:textId="77777777" w:rsidR="00D80E44" w:rsidRDefault="004530DE">
      <w:pPr>
        <w:spacing w:after="80"/>
      </w:pPr>
      <w:r>
        <w:t>Dokumentstand:</w:t>
      </w:r>
      <w:r>
        <w:br/>
        <w:t>5. August 2026 | Version 1.4</w:t>
      </w:r>
    </w:p>
    <w:p w14:paraId="465DDC32" w14:textId="77777777" w:rsidR="00D80E44" w:rsidRDefault="004530DE">
      <w:pPr>
        <w:spacing w:before="280" w:after="80"/>
      </w:pPr>
      <w:r>
        <w:rPr>
          <w:rFonts w:cs="Calibri"/>
          <w:b/>
          <w:color w:val="333333"/>
          <w:sz w:val="21"/>
        </w:rPr>
        <w:t>Zielorganisation / Mandant:</w:t>
      </w:r>
      <w:r>
        <w:rPr>
          <w:rFonts w:cs="Calibri"/>
          <w:b/>
          <w:color w:val="333333"/>
          <w:sz w:val="21"/>
        </w:rPr>
        <w:br/>
      </w:r>
      <w:r>
        <w:rPr>
          <w:rFonts w:cs="Calibri"/>
          <w:sz w:val="21"/>
        </w:rPr>
        <w:t>_______________________________________________</w:t>
      </w:r>
    </w:p>
    <w:p w14:paraId="19D54834" w14:textId="77777777" w:rsidR="00D80E44" w:rsidRDefault="004530DE">
      <w:pPr>
        <w:spacing w:after="80"/>
      </w:pPr>
      <w:r>
        <w:rPr>
          <w:rFonts w:cs="Calibri"/>
          <w:b/>
          <w:color w:val="333333"/>
          <w:sz w:val="21"/>
        </w:rPr>
        <w:t>Geltungsbereich:</w:t>
      </w:r>
      <w:r>
        <w:rPr>
          <w:rFonts w:cs="Calibri"/>
          <w:b/>
          <w:color w:val="333333"/>
          <w:sz w:val="21"/>
        </w:rPr>
        <w:br/>
      </w:r>
      <w:r>
        <w:rPr>
          <w:rFonts w:cs="Calibri"/>
          <w:sz w:val="21"/>
        </w:rPr>
        <w:t>Microsoft 365 Copilot, Copilot Chat, Agents, Connectoren und zugehörige Governance-Prozesse</w:t>
      </w:r>
    </w:p>
    <w:p w14:paraId="263FA4CB" w14:textId="77777777" w:rsidR="00D80E44" w:rsidRDefault="004530DE">
      <w:pPr>
        <w:spacing w:before="280" w:after="80"/>
      </w:pPr>
      <w:r>
        <w:rPr>
          <w:rFonts w:cs="Calibri"/>
          <w:b/>
          <w:color w:val="333333"/>
          <w:sz w:val="21"/>
        </w:rPr>
        <w:t>Herausgegeben von:</w:t>
      </w:r>
      <w:r>
        <w:rPr>
          <w:rFonts w:cs="Calibri"/>
          <w:b/>
          <w:color w:val="333333"/>
          <w:sz w:val="21"/>
        </w:rPr>
        <w:br/>
      </w:r>
      <w:r>
        <w:rPr>
          <w:rFonts w:cs="Calibri"/>
          <w:sz w:val="21"/>
        </w:rPr>
        <w:t>CloudLights GmbH</w:t>
      </w:r>
      <w:r>
        <w:rPr>
          <w:rFonts w:cs="Calibri"/>
          <w:sz w:val="21"/>
        </w:rPr>
        <w:br/>
        <w:t>Elisabeth-Kadow-Straße 5</w:t>
      </w:r>
      <w:r>
        <w:rPr>
          <w:rFonts w:cs="Calibri"/>
          <w:sz w:val="21"/>
        </w:rPr>
        <w:br/>
        <w:t>41470 Neuss</w:t>
      </w:r>
    </w:p>
    <w:p w14:paraId="72A1D889" w14:textId="77777777" w:rsidR="00D80E44" w:rsidRDefault="004530DE">
      <w:pPr>
        <w:pStyle w:val="SmallNote"/>
        <w:spacing w:before="360"/>
      </w:pPr>
      <w:r>
        <w:rPr>
          <w:rFonts w:cs="Calibri"/>
          <w:i/>
        </w:rPr>
        <w:t>Hinweis: Rechtsstand und Microsoft-Produktfunktionen können sich ändern. Vor einem produktiven Einsatz mit hohem Risiko, besonderen Kategorien personenbezogener Daten oder personalbezogenen Entscheidungen ist eine vertiefte rechtliche und datenschutzrechtliche Prüfung erforderlich.</w:t>
      </w:r>
    </w:p>
    <w:p w14:paraId="45FCE2F9" w14:textId="77777777" w:rsidR="00D80E44" w:rsidRDefault="004530DE">
      <w:r>
        <w:br w:type="page"/>
      </w:r>
    </w:p>
    <w:p w14:paraId="119C572E" w14:textId="77777777" w:rsidR="00D80E44" w:rsidRDefault="004530DE">
      <w:pPr>
        <w:spacing w:before="480" w:after="240"/>
      </w:pPr>
      <w:r>
        <w:rPr>
          <w:rFonts w:cs="Calibri"/>
          <w:color w:val="737373"/>
          <w:sz w:val="48"/>
        </w:rPr>
        <w:lastRenderedPageBreak/>
        <w:t>Inhaltsverzeichnis</w:t>
      </w:r>
    </w:p>
    <w:p w14:paraId="63D5C217" w14:textId="507D5B3A" w:rsidR="00302B42" w:rsidRDefault="004530DE">
      <w:pPr>
        <w:pStyle w:val="Verzeichnis1"/>
        <w:rPr>
          <w:rFonts w:asciiTheme="minorHAnsi" w:eastAsiaTheme="minorEastAsia" w:hAnsiTheme="minorHAnsi" w:cstheme="minorBidi"/>
          <w:b w:val="0"/>
          <w:bCs w:val="0"/>
          <w:color w:val="auto"/>
          <w:kern w:val="2"/>
          <w:sz w:val="24"/>
          <w:szCs w:val="24"/>
          <w14:ligatures w14:val="standardContextual"/>
        </w:rPr>
      </w:pPr>
      <w:r>
        <w:fldChar w:fldCharType="begin"/>
      </w:r>
      <w:r>
        <w:instrText xml:space="preserve"> TOC \o "1-2" \h \z \u </w:instrText>
      </w:r>
      <w:r>
        <w:fldChar w:fldCharType="separate"/>
      </w:r>
      <w:hyperlink w:anchor="_Toc236813366" w:history="1">
        <w:r w:rsidR="00302B42" w:rsidRPr="00404C3D">
          <w:rPr>
            <w:rStyle w:val="Hyperlink"/>
          </w:rPr>
          <w:t>1</w:t>
        </w:r>
        <w:r w:rsidR="00302B42">
          <w:rPr>
            <w:rFonts w:asciiTheme="minorHAnsi" w:eastAsiaTheme="minorEastAsia" w:hAnsiTheme="minorHAnsi" w:cstheme="minorBidi"/>
            <w:b w:val="0"/>
            <w:bCs w:val="0"/>
            <w:color w:val="auto"/>
            <w:kern w:val="2"/>
            <w:sz w:val="24"/>
            <w:szCs w:val="24"/>
            <w14:ligatures w14:val="standardContextual"/>
          </w:rPr>
          <w:tab/>
        </w:r>
        <w:r w:rsidR="00302B42" w:rsidRPr="00404C3D">
          <w:rPr>
            <w:rStyle w:val="Hyperlink"/>
            <w:rFonts w:cs="Calibri"/>
          </w:rPr>
          <w:t>Management Summary</w:t>
        </w:r>
        <w:r w:rsidR="00302B42">
          <w:rPr>
            <w:webHidden/>
          </w:rPr>
          <w:tab/>
        </w:r>
        <w:r w:rsidR="00302B42">
          <w:rPr>
            <w:webHidden/>
          </w:rPr>
          <w:fldChar w:fldCharType="begin"/>
        </w:r>
        <w:r w:rsidR="00302B42">
          <w:rPr>
            <w:webHidden/>
          </w:rPr>
          <w:instrText xml:space="preserve"> PAGEREF _Toc236813366 \h </w:instrText>
        </w:r>
        <w:r w:rsidR="00302B42">
          <w:rPr>
            <w:webHidden/>
          </w:rPr>
        </w:r>
        <w:r w:rsidR="00302B42">
          <w:rPr>
            <w:webHidden/>
          </w:rPr>
          <w:fldChar w:fldCharType="separate"/>
        </w:r>
        <w:r w:rsidR="00302B42">
          <w:rPr>
            <w:webHidden/>
          </w:rPr>
          <w:t>4</w:t>
        </w:r>
        <w:r w:rsidR="00302B42">
          <w:rPr>
            <w:webHidden/>
          </w:rPr>
          <w:fldChar w:fldCharType="end"/>
        </w:r>
      </w:hyperlink>
    </w:p>
    <w:p w14:paraId="1A83E8AA" w14:textId="47E693A5"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67" w:history="1">
        <w:r w:rsidRPr="00404C3D">
          <w:rPr>
            <w:rStyle w:val="Hyperlink"/>
            <w:noProof/>
          </w:rPr>
          <w:t>1.1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Was ein typisches Unternehmen jetzt braucht</w:t>
        </w:r>
        <w:r>
          <w:rPr>
            <w:noProof/>
            <w:webHidden/>
          </w:rPr>
          <w:tab/>
        </w:r>
        <w:r>
          <w:rPr>
            <w:noProof/>
            <w:webHidden/>
          </w:rPr>
          <w:fldChar w:fldCharType="begin"/>
        </w:r>
        <w:r>
          <w:rPr>
            <w:noProof/>
            <w:webHidden/>
          </w:rPr>
          <w:instrText xml:space="preserve"> PAGEREF _Toc236813367 \h </w:instrText>
        </w:r>
        <w:r>
          <w:rPr>
            <w:noProof/>
            <w:webHidden/>
          </w:rPr>
        </w:r>
        <w:r>
          <w:rPr>
            <w:noProof/>
            <w:webHidden/>
          </w:rPr>
          <w:fldChar w:fldCharType="separate"/>
        </w:r>
        <w:r>
          <w:rPr>
            <w:noProof/>
            <w:webHidden/>
          </w:rPr>
          <w:t>4</w:t>
        </w:r>
        <w:r>
          <w:rPr>
            <w:noProof/>
            <w:webHidden/>
          </w:rPr>
          <w:fldChar w:fldCharType="end"/>
        </w:r>
      </w:hyperlink>
    </w:p>
    <w:p w14:paraId="51818258" w14:textId="66C0A180"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68" w:history="1">
        <w:r w:rsidRPr="00404C3D">
          <w:rPr>
            <w:rStyle w:val="Hyperlink"/>
            <w:noProof/>
          </w:rPr>
          <w:t>1.2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Entscheidungsgate vor dem breiten Rollout</w:t>
        </w:r>
        <w:r>
          <w:rPr>
            <w:noProof/>
            <w:webHidden/>
          </w:rPr>
          <w:tab/>
        </w:r>
        <w:r>
          <w:rPr>
            <w:noProof/>
            <w:webHidden/>
          </w:rPr>
          <w:fldChar w:fldCharType="begin"/>
        </w:r>
        <w:r>
          <w:rPr>
            <w:noProof/>
            <w:webHidden/>
          </w:rPr>
          <w:instrText xml:space="preserve"> PAGEREF _Toc236813368 \h </w:instrText>
        </w:r>
        <w:r>
          <w:rPr>
            <w:noProof/>
            <w:webHidden/>
          </w:rPr>
        </w:r>
        <w:r>
          <w:rPr>
            <w:noProof/>
            <w:webHidden/>
          </w:rPr>
          <w:fldChar w:fldCharType="separate"/>
        </w:r>
        <w:r>
          <w:rPr>
            <w:noProof/>
            <w:webHidden/>
          </w:rPr>
          <w:t>4</w:t>
        </w:r>
        <w:r>
          <w:rPr>
            <w:noProof/>
            <w:webHidden/>
          </w:rPr>
          <w:fldChar w:fldCharType="end"/>
        </w:r>
      </w:hyperlink>
    </w:p>
    <w:p w14:paraId="707259D6" w14:textId="3BB19923"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69" w:history="1">
        <w:r w:rsidRPr="00404C3D">
          <w:rPr>
            <w:rStyle w:val="Hyperlink"/>
          </w:rPr>
          <w:t>2</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Rechtlicher Handlungsrahmen</w:t>
        </w:r>
        <w:r>
          <w:rPr>
            <w:webHidden/>
          </w:rPr>
          <w:tab/>
        </w:r>
        <w:r>
          <w:rPr>
            <w:webHidden/>
          </w:rPr>
          <w:fldChar w:fldCharType="begin"/>
        </w:r>
        <w:r>
          <w:rPr>
            <w:webHidden/>
          </w:rPr>
          <w:instrText xml:space="preserve"> PAGEREF _Toc236813369 \h </w:instrText>
        </w:r>
        <w:r>
          <w:rPr>
            <w:webHidden/>
          </w:rPr>
        </w:r>
        <w:r>
          <w:rPr>
            <w:webHidden/>
          </w:rPr>
          <w:fldChar w:fldCharType="separate"/>
        </w:r>
        <w:r>
          <w:rPr>
            <w:webHidden/>
          </w:rPr>
          <w:t>5</w:t>
        </w:r>
        <w:r>
          <w:rPr>
            <w:webHidden/>
          </w:rPr>
          <w:fldChar w:fldCharType="end"/>
        </w:r>
      </w:hyperlink>
    </w:p>
    <w:p w14:paraId="6DED47D9" w14:textId="442F2C4F"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0" w:history="1">
        <w:r w:rsidRPr="00404C3D">
          <w:rPr>
            <w:rStyle w:val="Hyperlink"/>
            <w:noProof/>
          </w:rPr>
          <w:t>2.1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Rolle des Unternehmens: in der Regel Deployer</w:t>
        </w:r>
        <w:r>
          <w:rPr>
            <w:noProof/>
            <w:webHidden/>
          </w:rPr>
          <w:tab/>
        </w:r>
        <w:r>
          <w:rPr>
            <w:noProof/>
            <w:webHidden/>
          </w:rPr>
          <w:fldChar w:fldCharType="begin"/>
        </w:r>
        <w:r>
          <w:rPr>
            <w:noProof/>
            <w:webHidden/>
          </w:rPr>
          <w:instrText xml:space="preserve"> PAGEREF _Toc236813370 \h </w:instrText>
        </w:r>
        <w:r>
          <w:rPr>
            <w:noProof/>
            <w:webHidden/>
          </w:rPr>
        </w:r>
        <w:r>
          <w:rPr>
            <w:noProof/>
            <w:webHidden/>
          </w:rPr>
          <w:fldChar w:fldCharType="separate"/>
        </w:r>
        <w:r>
          <w:rPr>
            <w:noProof/>
            <w:webHidden/>
          </w:rPr>
          <w:t>5</w:t>
        </w:r>
        <w:r>
          <w:rPr>
            <w:noProof/>
            <w:webHidden/>
          </w:rPr>
          <w:fldChar w:fldCharType="end"/>
        </w:r>
      </w:hyperlink>
    </w:p>
    <w:p w14:paraId="42EA3942" w14:textId="4E03F8B3"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1" w:history="1">
        <w:r w:rsidRPr="00404C3D">
          <w:rPr>
            <w:rStyle w:val="Hyperlink"/>
            <w:noProof/>
          </w:rPr>
          <w:t>2.2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Zeitplan: relevante Pflichten zum Dokumentstand</w:t>
        </w:r>
        <w:r>
          <w:rPr>
            <w:noProof/>
            <w:webHidden/>
          </w:rPr>
          <w:tab/>
        </w:r>
        <w:r>
          <w:rPr>
            <w:noProof/>
            <w:webHidden/>
          </w:rPr>
          <w:fldChar w:fldCharType="begin"/>
        </w:r>
        <w:r>
          <w:rPr>
            <w:noProof/>
            <w:webHidden/>
          </w:rPr>
          <w:instrText xml:space="preserve"> PAGEREF _Toc236813371 \h </w:instrText>
        </w:r>
        <w:r>
          <w:rPr>
            <w:noProof/>
            <w:webHidden/>
          </w:rPr>
        </w:r>
        <w:r>
          <w:rPr>
            <w:noProof/>
            <w:webHidden/>
          </w:rPr>
          <w:fldChar w:fldCharType="separate"/>
        </w:r>
        <w:r>
          <w:rPr>
            <w:noProof/>
            <w:webHidden/>
          </w:rPr>
          <w:t>5</w:t>
        </w:r>
        <w:r>
          <w:rPr>
            <w:noProof/>
            <w:webHidden/>
          </w:rPr>
          <w:fldChar w:fldCharType="end"/>
        </w:r>
      </w:hyperlink>
    </w:p>
    <w:p w14:paraId="2EA36255" w14:textId="15B0EF2A"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2" w:history="1">
        <w:r w:rsidRPr="00404C3D">
          <w:rPr>
            <w:rStyle w:val="Hyperlink"/>
            <w:noProof/>
          </w:rPr>
          <w:t>2.3</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KI-Kompetenz nach Art. 4</w:t>
        </w:r>
        <w:r>
          <w:rPr>
            <w:noProof/>
            <w:webHidden/>
          </w:rPr>
          <w:tab/>
        </w:r>
        <w:r>
          <w:rPr>
            <w:noProof/>
            <w:webHidden/>
          </w:rPr>
          <w:fldChar w:fldCharType="begin"/>
        </w:r>
        <w:r>
          <w:rPr>
            <w:noProof/>
            <w:webHidden/>
          </w:rPr>
          <w:instrText xml:space="preserve"> PAGEREF _Toc236813372 \h </w:instrText>
        </w:r>
        <w:r>
          <w:rPr>
            <w:noProof/>
            <w:webHidden/>
          </w:rPr>
        </w:r>
        <w:r>
          <w:rPr>
            <w:noProof/>
            <w:webHidden/>
          </w:rPr>
          <w:fldChar w:fldCharType="separate"/>
        </w:r>
        <w:r>
          <w:rPr>
            <w:noProof/>
            <w:webHidden/>
          </w:rPr>
          <w:t>6</w:t>
        </w:r>
        <w:r>
          <w:rPr>
            <w:noProof/>
            <w:webHidden/>
          </w:rPr>
          <w:fldChar w:fldCharType="end"/>
        </w:r>
      </w:hyperlink>
    </w:p>
    <w:p w14:paraId="4D002A0D" w14:textId="3E9A4E84"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3" w:history="1">
        <w:r w:rsidRPr="00404C3D">
          <w:rPr>
            <w:rStyle w:val="Hyperlink"/>
            <w:noProof/>
          </w:rPr>
          <w:t>2.4</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Verbote und Transparenz</w:t>
        </w:r>
        <w:r>
          <w:rPr>
            <w:noProof/>
            <w:webHidden/>
          </w:rPr>
          <w:tab/>
        </w:r>
        <w:r>
          <w:rPr>
            <w:noProof/>
            <w:webHidden/>
          </w:rPr>
          <w:fldChar w:fldCharType="begin"/>
        </w:r>
        <w:r>
          <w:rPr>
            <w:noProof/>
            <w:webHidden/>
          </w:rPr>
          <w:instrText xml:space="preserve"> PAGEREF _Toc236813373 \h </w:instrText>
        </w:r>
        <w:r>
          <w:rPr>
            <w:noProof/>
            <w:webHidden/>
          </w:rPr>
        </w:r>
        <w:r>
          <w:rPr>
            <w:noProof/>
            <w:webHidden/>
          </w:rPr>
          <w:fldChar w:fldCharType="separate"/>
        </w:r>
        <w:r>
          <w:rPr>
            <w:noProof/>
            <w:webHidden/>
          </w:rPr>
          <w:t>6</w:t>
        </w:r>
        <w:r>
          <w:rPr>
            <w:noProof/>
            <w:webHidden/>
          </w:rPr>
          <w:fldChar w:fldCharType="end"/>
        </w:r>
      </w:hyperlink>
    </w:p>
    <w:p w14:paraId="1A5A0007" w14:textId="14B420E2"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74" w:history="1">
        <w:r w:rsidRPr="00404C3D">
          <w:rPr>
            <w:rStyle w:val="Hyperlink"/>
          </w:rPr>
          <w:t>3</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Microsoft 365 Copilot: Daten, Berechtigungen und Grenzen</w:t>
        </w:r>
        <w:r>
          <w:rPr>
            <w:webHidden/>
          </w:rPr>
          <w:tab/>
        </w:r>
        <w:r>
          <w:rPr>
            <w:webHidden/>
          </w:rPr>
          <w:fldChar w:fldCharType="begin"/>
        </w:r>
        <w:r>
          <w:rPr>
            <w:webHidden/>
          </w:rPr>
          <w:instrText xml:space="preserve"> PAGEREF _Toc236813374 \h </w:instrText>
        </w:r>
        <w:r>
          <w:rPr>
            <w:webHidden/>
          </w:rPr>
        </w:r>
        <w:r>
          <w:rPr>
            <w:webHidden/>
          </w:rPr>
          <w:fldChar w:fldCharType="separate"/>
        </w:r>
        <w:r>
          <w:rPr>
            <w:webHidden/>
          </w:rPr>
          <w:t>7</w:t>
        </w:r>
        <w:r>
          <w:rPr>
            <w:webHidden/>
          </w:rPr>
          <w:fldChar w:fldCharType="end"/>
        </w:r>
      </w:hyperlink>
    </w:p>
    <w:p w14:paraId="09BFD514" w14:textId="0424AF79"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5" w:history="1">
        <w:r w:rsidRPr="00404C3D">
          <w:rPr>
            <w:rStyle w:val="Hyperlink"/>
            <w:noProof/>
          </w:rPr>
          <w:t>3.1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Daten- und Schutzmodell</w:t>
        </w:r>
        <w:r>
          <w:rPr>
            <w:noProof/>
            <w:webHidden/>
          </w:rPr>
          <w:tab/>
        </w:r>
        <w:r>
          <w:rPr>
            <w:noProof/>
            <w:webHidden/>
          </w:rPr>
          <w:fldChar w:fldCharType="begin"/>
        </w:r>
        <w:r>
          <w:rPr>
            <w:noProof/>
            <w:webHidden/>
          </w:rPr>
          <w:instrText xml:space="preserve"> PAGEREF _Toc236813375 \h </w:instrText>
        </w:r>
        <w:r>
          <w:rPr>
            <w:noProof/>
            <w:webHidden/>
          </w:rPr>
        </w:r>
        <w:r>
          <w:rPr>
            <w:noProof/>
            <w:webHidden/>
          </w:rPr>
          <w:fldChar w:fldCharType="separate"/>
        </w:r>
        <w:r>
          <w:rPr>
            <w:noProof/>
            <w:webHidden/>
          </w:rPr>
          <w:t>7</w:t>
        </w:r>
        <w:r>
          <w:rPr>
            <w:noProof/>
            <w:webHidden/>
          </w:rPr>
          <w:fldChar w:fldCharType="end"/>
        </w:r>
      </w:hyperlink>
    </w:p>
    <w:p w14:paraId="1F5E0D26" w14:textId="6F8200E8"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6" w:history="1">
        <w:r w:rsidRPr="00404C3D">
          <w:rPr>
            <w:rStyle w:val="Hyperlink"/>
            <w:noProof/>
          </w:rPr>
          <w:t>3.2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Technische Mindestbasis – Überblick</w:t>
        </w:r>
        <w:r>
          <w:rPr>
            <w:noProof/>
            <w:webHidden/>
          </w:rPr>
          <w:tab/>
        </w:r>
        <w:r>
          <w:rPr>
            <w:noProof/>
            <w:webHidden/>
          </w:rPr>
          <w:fldChar w:fldCharType="begin"/>
        </w:r>
        <w:r>
          <w:rPr>
            <w:noProof/>
            <w:webHidden/>
          </w:rPr>
          <w:instrText xml:space="preserve"> PAGEREF _Toc236813376 \h </w:instrText>
        </w:r>
        <w:r>
          <w:rPr>
            <w:noProof/>
            <w:webHidden/>
          </w:rPr>
        </w:r>
        <w:r>
          <w:rPr>
            <w:noProof/>
            <w:webHidden/>
          </w:rPr>
          <w:fldChar w:fldCharType="separate"/>
        </w:r>
        <w:r>
          <w:rPr>
            <w:noProof/>
            <w:webHidden/>
          </w:rPr>
          <w:t>7</w:t>
        </w:r>
        <w:r>
          <w:rPr>
            <w:noProof/>
            <w:webHidden/>
          </w:rPr>
          <w:fldChar w:fldCharType="end"/>
        </w:r>
      </w:hyperlink>
    </w:p>
    <w:p w14:paraId="762B3D13" w14:textId="1A0B1624"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77" w:history="1">
        <w:r w:rsidRPr="00404C3D">
          <w:rPr>
            <w:rStyle w:val="Hyperlink"/>
            <w:lang w:val="en-US"/>
          </w:rPr>
          <w:t>4</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lang w:val="en-US"/>
          </w:rPr>
          <w:t>Use-Case-Governance und Freigabeprozess</w:t>
        </w:r>
        <w:r>
          <w:rPr>
            <w:webHidden/>
          </w:rPr>
          <w:tab/>
        </w:r>
        <w:r>
          <w:rPr>
            <w:webHidden/>
          </w:rPr>
          <w:fldChar w:fldCharType="begin"/>
        </w:r>
        <w:r>
          <w:rPr>
            <w:webHidden/>
          </w:rPr>
          <w:instrText xml:space="preserve"> PAGEREF _Toc236813377 \h </w:instrText>
        </w:r>
        <w:r>
          <w:rPr>
            <w:webHidden/>
          </w:rPr>
        </w:r>
        <w:r>
          <w:rPr>
            <w:webHidden/>
          </w:rPr>
          <w:fldChar w:fldCharType="separate"/>
        </w:r>
        <w:r>
          <w:rPr>
            <w:webHidden/>
          </w:rPr>
          <w:t>9</w:t>
        </w:r>
        <w:r>
          <w:rPr>
            <w:webHidden/>
          </w:rPr>
          <w:fldChar w:fldCharType="end"/>
        </w:r>
      </w:hyperlink>
    </w:p>
    <w:p w14:paraId="73D2ECAC" w14:textId="2DF4A337"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8" w:history="1">
        <w:r w:rsidRPr="00404C3D">
          <w:rPr>
            <w:rStyle w:val="Hyperlink"/>
            <w:noProof/>
          </w:rPr>
          <w:t>4.1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Ampel für Anwendungsfälle</w:t>
        </w:r>
        <w:r>
          <w:rPr>
            <w:noProof/>
            <w:webHidden/>
          </w:rPr>
          <w:tab/>
        </w:r>
        <w:r>
          <w:rPr>
            <w:noProof/>
            <w:webHidden/>
          </w:rPr>
          <w:fldChar w:fldCharType="begin"/>
        </w:r>
        <w:r>
          <w:rPr>
            <w:noProof/>
            <w:webHidden/>
          </w:rPr>
          <w:instrText xml:space="preserve"> PAGEREF _Toc236813378 \h </w:instrText>
        </w:r>
        <w:r>
          <w:rPr>
            <w:noProof/>
            <w:webHidden/>
          </w:rPr>
        </w:r>
        <w:r>
          <w:rPr>
            <w:noProof/>
            <w:webHidden/>
          </w:rPr>
          <w:fldChar w:fldCharType="separate"/>
        </w:r>
        <w:r>
          <w:rPr>
            <w:noProof/>
            <w:webHidden/>
          </w:rPr>
          <w:t>9</w:t>
        </w:r>
        <w:r>
          <w:rPr>
            <w:noProof/>
            <w:webHidden/>
          </w:rPr>
          <w:fldChar w:fldCharType="end"/>
        </w:r>
      </w:hyperlink>
    </w:p>
    <w:p w14:paraId="7DCE7C8A" w14:textId="5DDC2BCD"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79" w:history="1">
        <w:r w:rsidRPr="00404C3D">
          <w:rPr>
            <w:rStyle w:val="Hyperlink"/>
            <w:noProof/>
          </w:rPr>
          <w:t>4.2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Pflichtangaben im Use-Case-Steckbrief</w:t>
        </w:r>
        <w:r>
          <w:rPr>
            <w:noProof/>
            <w:webHidden/>
          </w:rPr>
          <w:tab/>
        </w:r>
        <w:r>
          <w:rPr>
            <w:noProof/>
            <w:webHidden/>
          </w:rPr>
          <w:fldChar w:fldCharType="begin"/>
        </w:r>
        <w:r>
          <w:rPr>
            <w:noProof/>
            <w:webHidden/>
          </w:rPr>
          <w:instrText xml:space="preserve"> PAGEREF _Toc236813379 \h </w:instrText>
        </w:r>
        <w:r>
          <w:rPr>
            <w:noProof/>
            <w:webHidden/>
          </w:rPr>
        </w:r>
        <w:r>
          <w:rPr>
            <w:noProof/>
            <w:webHidden/>
          </w:rPr>
          <w:fldChar w:fldCharType="separate"/>
        </w:r>
        <w:r>
          <w:rPr>
            <w:noProof/>
            <w:webHidden/>
          </w:rPr>
          <w:t>9</w:t>
        </w:r>
        <w:r>
          <w:rPr>
            <w:noProof/>
            <w:webHidden/>
          </w:rPr>
          <w:fldChar w:fldCharType="end"/>
        </w:r>
      </w:hyperlink>
    </w:p>
    <w:p w14:paraId="758CB649" w14:textId="4688A0F7"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0" w:history="1">
        <w:r w:rsidRPr="00404C3D">
          <w:rPr>
            <w:rStyle w:val="Hyperlink"/>
            <w:noProof/>
          </w:rPr>
          <w:t>4.3</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Standard-Freigabeablauf</w:t>
        </w:r>
        <w:r>
          <w:rPr>
            <w:noProof/>
            <w:webHidden/>
          </w:rPr>
          <w:tab/>
        </w:r>
        <w:r>
          <w:rPr>
            <w:noProof/>
            <w:webHidden/>
          </w:rPr>
          <w:fldChar w:fldCharType="begin"/>
        </w:r>
        <w:r>
          <w:rPr>
            <w:noProof/>
            <w:webHidden/>
          </w:rPr>
          <w:instrText xml:space="preserve"> PAGEREF _Toc236813380 \h </w:instrText>
        </w:r>
        <w:r>
          <w:rPr>
            <w:noProof/>
            <w:webHidden/>
          </w:rPr>
        </w:r>
        <w:r>
          <w:rPr>
            <w:noProof/>
            <w:webHidden/>
          </w:rPr>
          <w:fldChar w:fldCharType="separate"/>
        </w:r>
        <w:r>
          <w:rPr>
            <w:noProof/>
            <w:webHidden/>
          </w:rPr>
          <w:t>10</w:t>
        </w:r>
        <w:r>
          <w:rPr>
            <w:noProof/>
            <w:webHidden/>
          </w:rPr>
          <w:fldChar w:fldCharType="end"/>
        </w:r>
      </w:hyperlink>
    </w:p>
    <w:p w14:paraId="323A0DF9" w14:textId="01068C24"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1" w:history="1">
        <w:r w:rsidRPr="00404C3D">
          <w:rPr>
            <w:rStyle w:val="Hyperlink"/>
            <w:noProof/>
          </w:rPr>
          <w:t>4.4</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Besondere Regeln für Agents und Connectoren</w:t>
        </w:r>
        <w:r>
          <w:rPr>
            <w:noProof/>
            <w:webHidden/>
          </w:rPr>
          <w:tab/>
        </w:r>
        <w:r>
          <w:rPr>
            <w:noProof/>
            <w:webHidden/>
          </w:rPr>
          <w:fldChar w:fldCharType="begin"/>
        </w:r>
        <w:r>
          <w:rPr>
            <w:noProof/>
            <w:webHidden/>
          </w:rPr>
          <w:instrText xml:space="preserve"> PAGEREF _Toc236813381 \h </w:instrText>
        </w:r>
        <w:r>
          <w:rPr>
            <w:noProof/>
            <w:webHidden/>
          </w:rPr>
        </w:r>
        <w:r>
          <w:rPr>
            <w:noProof/>
            <w:webHidden/>
          </w:rPr>
          <w:fldChar w:fldCharType="separate"/>
        </w:r>
        <w:r>
          <w:rPr>
            <w:noProof/>
            <w:webHidden/>
          </w:rPr>
          <w:t>10</w:t>
        </w:r>
        <w:r>
          <w:rPr>
            <w:noProof/>
            <w:webHidden/>
          </w:rPr>
          <w:fldChar w:fldCharType="end"/>
        </w:r>
      </w:hyperlink>
    </w:p>
    <w:p w14:paraId="7836E23E" w14:textId="35A58CB3"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82" w:history="1">
        <w:r w:rsidRPr="00404C3D">
          <w:rPr>
            <w:rStyle w:val="Hyperlink"/>
          </w:rPr>
          <w:t>5</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Muster einer internen KI-Nutzungsleitlinie</w:t>
        </w:r>
        <w:r>
          <w:rPr>
            <w:webHidden/>
          </w:rPr>
          <w:tab/>
        </w:r>
        <w:r>
          <w:rPr>
            <w:webHidden/>
          </w:rPr>
          <w:fldChar w:fldCharType="begin"/>
        </w:r>
        <w:r>
          <w:rPr>
            <w:webHidden/>
          </w:rPr>
          <w:instrText xml:space="preserve"> PAGEREF _Toc236813382 \h </w:instrText>
        </w:r>
        <w:r>
          <w:rPr>
            <w:webHidden/>
          </w:rPr>
        </w:r>
        <w:r>
          <w:rPr>
            <w:webHidden/>
          </w:rPr>
          <w:fldChar w:fldCharType="separate"/>
        </w:r>
        <w:r>
          <w:rPr>
            <w:webHidden/>
          </w:rPr>
          <w:t>12</w:t>
        </w:r>
        <w:r>
          <w:rPr>
            <w:webHidden/>
          </w:rPr>
          <w:fldChar w:fldCharType="end"/>
        </w:r>
      </w:hyperlink>
    </w:p>
    <w:p w14:paraId="6C926E17" w14:textId="24ECDB8D"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3" w:history="1">
        <w:r w:rsidRPr="00404C3D">
          <w:rPr>
            <w:rStyle w:val="Hyperlink"/>
            <w:noProof/>
          </w:rPr>
          <w:t>5.1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Zweck und Geltungsbereich</w:t>
        </w:r>
        <w:r>
          <w:rPr>
            <w:noProof/>
            <w:webHidden/>
          </w:rPr>
          <w:tab/>
        </w:r>
        <w:r>
          <w:rPr>
            <w:noProof/>
            <w:webHidden/>
          </w:rPr>
          <w:fldChar w:fldCharType="begin"/>
        </w:r>
        <w:r>
          <w:rPr>
            <w:noProof/>
            <w:webHidden/>
          </w:rPr>
          <w:instrText xml:space="preserve"> PAGEREF _Toc236813383 \h </w:instrText>
        </w:r>
        <w:r>
          <w:rPr>
            <w:noProof/>
            <w:webHidden/>
          </w:rPr>
        </w:r>
        <w:r>
          <w:rPr>
            <w:noProof/>
            <w:webHidden/>
          </w:rPr>
          <w:fldChar w:fldCharType="separate"/>
        </w:r>
        <w:r>
          <w:rPr>
            <w:noProof/>
            <w:webHidden/>
          </w:rPr>
          <w:t>12</w:t>
        </w:r>
        <w:r>
          <w:rPr>
            <w:noProof/>
            <w:webHidden/>
          </w:rPr>
          <w:fldChar w:fldCharType="end"/>
        </w:r>
      </w:hyperlink>
    </w:p>
    <w:p w14:paraId="48965514" w14:textId="3E178A1C"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4" w:history="1">
        <w:r w:rsidRPr="00404C3D">
          <w:rPr>
            <w:rStyle w:val="Hyperlink"/>
            <w:noProof/>
          </w:rPr>
          <w:t>5.2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Grundsätze</w:t>
        </w:r>
        <w:r>
          <w:rPr>
            <w:noProof/>
            <w:webHidden/>
          </w:rPr>
          <w:tab/>
        </w:r>
        <w:r>
          <w:rPr>
            <w:noProof/>
            <w:webHidden/>
          </w:rPr>
          <w:fldChar w:fldCharType="begin"/>
        </w:r>
        <w:r>
          <w:rPr>
            <w:noProof/>
            <w:webHidden/>
          </w:rPr>
          <w:instrText xml:space="preserve"> PAGEREF _Toc236813384 \h </w:instrText>
        </w:r>
        <w:r>
          <w:rPr>
            <w:noProof/>
            <w:webHidden/>
          </w:rPr>
        </w:r>
        <w:r>
          <w:rPr>
            <w:noProof/>
            <w:webHidden/>
          </w:rPr>
          <w:fldChar w:fldCharType="separate"/>
        </w:r>
        <w:r>
          <w:rPr>
            <w:noProof/>
            <w:webHidden/>
          </w:rPr>
          <w:t>12</w:t>
        </w:r>
        <w:r>
          <w:rPr>
            <w:noProof/>
            <w:webHidden/>
          </w:rPr>
          <w:fldChar w:fldCharType="end"/>
        </w:r>
      </w:hyperlink>
    </w:p>
    <w:p w14:paraId="4A4AA952" w14:textId="1191A1AD"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5" w:history="1">
        <w:r w:rsidRPr="00404C3D">
          <w:rPr>
            <w:rStyle w:val="Hyperlink"/>
            <w:noProof/>
          </w:rPr>
          <w:t>5.3</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Zulässige Nutzung</w:t>
        </w:r>
        <w:r>
          <w:rPr>
            <w:noProof/>
            <w:webHidden/>
          </w:rPr>
          <w:tab/>
        </w:r>
        <w:r>
          <w:rPr>
            <w:noProof/>
            <w:webHidden/>
          </w:rPr>
          <w:fldChar w:fldCharType="begin"/>
        </w:r>
        <w:r>
          <w:rPr>
            <w:noProof/>
            <w:webHidden/>
          </w:rPr>
          <w:instrText xml:space="preserve"> PAGEREF _Toc236813385 \h </w:instrText>
        </w:r>
        <w:r>
          <w:rPr>
            <w:noProof/>
            <w:webHidden/>
          </w:rPr>
        </w:r>
        <w:r>
          <w:rPr>
            <w:noProof/>
            <w:webHidden/>
          </w:rPr>
          <w:fldChar w:fldCharType="separate"/>
        </w:r>
        <w:r>
          <w:rPr>
            <w:noProof/>
            <w:webHidden/>
          </w:rPr>
          <w:t>12</w:t>
        </w:r>
        <w:r>
          <w:rPr>
            <w:noProof/>
            <w:webHidden/>
          </w:rPr>
          <w:fldChar w:fldCharType="end"/>
        </w:r>
      </w:hyperlink>
    </w:p>
    <w:p w14:paraId="2D4E8C73" w14:textId="22F040FF"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6" w:history="1">
        <w:r w:rsidRPr="00404C3D">
          <w:rPr>
            <w:rStyle w:val="Hyperlink"/>
            <w:noProof/>
          </w:rPr>
          <w:t>5.4</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Nicht zulässige Nutzung</w:t>
        </w:r>
        <w:r>
          <w:rPr>
            <w:noProof/>
            <w:webHidden/>
          </w:rPr>
          <w:tab/>
        </w:r>
        <w:r>
          <w:rPr>
            <w:noProof/>
            <w:webHidden/>
          </w:rPr>
          <w:fldChar w:fldCharType="begin"/>
        </w:r>
        <w:r>
          <w:rPr>
            <w:noProof/>
            <w:webHidden/>
          </w:rPr>
          <w:instrText xml:space="preserve"> PAGEREF _Toc236813386 \h </w:instrText>
        </w:r>
        <w:r>
          <w:rPr>
            <w:noProof/>
            <w:webHidden/>
          </w:rPr>
        </w:r>
        <w:r>
          <w:rPr>
            <w:noProof/>
            <w:webHidden/>
          </w:rPr>
          <w:fldChar w:fldCharType="separate"/>
        </w:r>
        <w:r>
          <w:rPr>
            <w:noProof/>
            <w:webHidden/>
          </w:rPr>
          <w:t>13</w:t>
        </w:r>
        <w:r>
          <w:rPr>
            <w:noProof/>
            <w:webHidden/>
          </w:rPr>
          <w:fldChar w:fldCharType="end"/>
        </w:r>
      </w:hyperlink>
    </w:p>
    <w:p w14:paraId="396EF391" w14:textId="1DEB75A2"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7" w:history="1">
        <w:r w:rsidRPr="00404C3D">
          <w:rPr>
            <w:rStyle w:val="Hyperlink"/>
            <w:noProof/>
          </w:rPr>
          <w:t>5.5</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Prompt- und Qualitätsregeln</w:t>
        </w:r>
        <w:r>
          <w:rPr>
            <w:noProof/>
            <w:webHidden/>
          </w:rPr>
          <w:tab/>
        </w:r>
        <w:r>
          <w:rPr>
            <w:noProof/>
            <w:webHidden/>
          </w:rPr>
          <w:fldChar w:fldCharType="begin"/>
        </w:r>
        <w:r>
          <w:rPr>
            <w:noProof/>
            <w:webHidden/>
          </w:rPr>
          <w:instrText xml:space="preserve"> PAGEREF _Toc236813387 \h </w:instrText>
        </w:r>
        <w:r>
          <w:rPr>
            <w:noProof/>
            <w:webHidden/>
          </w:rPr>
        </w:r>
        <w:r>
          <w:rPr>
            <w:noProof/>
            <w:webHidden/>
          </w:rPr>
          <w:fldChar w:fldCharType="separate"/>
        </w:r>
        <w:r>
          <w:rPr>
            <w:noProof/>
            <w:webHidden/>
          </w:rPr>
          <w:t>13</w:t>
        </w:r>
        <w:r>
          <w:rPr>
            <w:noProof/>
            <w:webHidden/>
          </w:rPr>
          <w:fldChar w:fldCharType="end"/>
        </w:r>
      </w:hyperlink>
    </w:p>
    <w:p w14:paraId="7082C8B5" w14:textId="16A9EBBD"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88" w:history="1">
        <w:r w:rsidRPr="00404C3D">
          <w:rPr>
            <w:rStyle w:val="Hyperlink"/>
          </w:rPr>
          <w:t>6</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Technische und datenschutzrechtliche Readiness</w:t>
        </w:r>
        <w:r>
          <w:rPr>
            <w:webHidden/>
          </w:rPr>
          <w:tab/>
        </w:r>
        <w:r>
          <w:rPr>
            <w:webHidden/>
          </w:rPr>
          <w:fldChar w:fldCharType="begin"/>
        </w:r>
        <w:r>
          <w:rPr>
            <w:webHidden/>
          </w:rPr>
          <w:instrText xml:space="preserve"> PAGEREF _Toc236813388 \h </w:instrText>
        </w:r>
        <w:r>
          <w:rPr>
            <w:webHidden/>
          </w:rPr>
        </w:r>
        <w:r>
          <w:rPr>
            <w:webHidden/>
          </w:rPr>
          <w:fldChar w:fldCharType="separate"/>
        </w:r>
        <w:r>
          <w:rPr>
            <w:webHidden/>
          </w:rPr>
          <w:t>14</w:t>
        </w:r>
        <w:r>
          <w:rPr>
            <w:webHidden/>
          </w:rPr>
          <w:fldChar w:fldCharType="end"/>
        </w:r>
      </w:hyperlink>
    </w:p>
    <w:p w14:paraId="645AA915" w14:textId="2230481D"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89" w:history="1">
        <w:r w:rsidRPr="00404C3D">
          <w:rPr>
            <w:rStyle w:val="Hyperlink"/>
            <w:noProof/>
          </w:rPr>
          <w:t>6.1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Kontrollbereiche vor der Pilotfreigabe</w:t>
        </w:r>
        <w:r>
          <w:rPr>
            <w:noProof/>
            <w:webHidden/>
          </w:rPr>
          <w:tab/>
        </w:r>
        <w:r>
          <w:rPr>
            <w:noProof/>
            <w:webHidden/>
          </w:rPr>
          <w:fldChar w:fldCharType="begin"/>
        </w:r>
        <w:r>
          <w:rPr>
            <w:noProof/>
            <w:webHidden/>
          </w:rPr>
          <w:instrText xml:space="preserve"> PAGEREF _Toc236813389 \h </w:instrText>
        </w:r>
        <w:r>
          <w:rPr>
            <w:noProof/>
            <w:webHidden/>
          </w:rPr>
        </w:r>
        <w:r>
          <w:rPr>
            <w:noProof/>
            <w:webHidden/>
          </w:rPr>
          <w:fldChar w:fldCharType="separate"/>
        </w:r>
        <w:r>
          <w:rPr>
            <w:noProof/>
            <w:webHidden/>
          </w:rPr>
          <w:t>14</w:t>
        </w:r>
        <w:r>
          <w:rPr>
            <w:noProof/>
            <w:webHidden/>
          </w:rPr>
          <w:fldChar w:fldCharType="end"/>
        </w:r>
      </w:hyperlink>
    </w:p>
    <w:p w14:paraId="05158909" w14:textId="306442BE"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0" w:history="1">
        <w:r w:rsidRPr="00404C3D">
          <w:rPr>
            <w:rStyle w:val="Hyperlink"/>
            <w:noProof/>
            <w:lang w:val="en-US"/>
          </w:rPr>
          <w:t>6.2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lang w:val="en-US"/>
          </w:rPr>
          <w:t>Datenschutz-Screening pro Use Case</w:t>
        </w:r>
        <w:r>
          <w:rPr>
            <w:noProof/>
            <w:webHidden/>
          </w:rPr>
          <w:tab/>
        </w:r>
        <w:r>
          <w:rPr>
            <w:noProof/>
            <w:webHidden/>
          </w:rPr>
          <w:fldChar w:fldCharType="begin"/>
        </w:r>
        <w:r>
          <w:rPr>
            <w:noProof/>
            <w:webHidden/>
          </w:rPr>
          <w:instrText xml:space="preserve"> PAGEREF _Toc236813390 \h </w:instrText>
        </w:r>
        <w:r>
          <w:rPr>
            <w:noProof/>
            <w:webHidden/>
          </w:rPr>
        </w:r>
        <w:r>
          <w:rPr>
            <w:noProof/>
            <w:webHidden/>
          </w:rPr>
          <w:fldChar w:fldCharType="separate"/>
        </w:r>
        <w:r>
          <w:rPr>
            <w:noProof/>
            <w:webHidden/>
          </w:rPr>
          <w:t>14</w:t>
        </w:r>
        <w:r>
          <w:rPr>
            <w:noProof/>
            <w:webHidden/>
          </w:rPr>
          <w:fldChar w:fldCharType="end"/>
        </w:r>
      </w:hyperlink>
    </w:p>
    <w:p w14:paraId="2636E228" w14:textId="5964B345"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1" w:history="1">
        <w:r w:rsidRPr="00404C3D">
          <w:rPr>
            <w:rStyle w:val="Hyperlink"/>
            <w:noProof/>
          </w:rPr>
          <w:t>6.3</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Testprotokoll: von der Konfiguration zur Freigabe</w:t>
        </w:r>
        <w:r>
          <w:rPr>
            <w:noProof/>
            <w:webHidden/>
          </w:rPr>
          <w:tab/>
        </w:r>
        <w:r>
          <w:rPr>
            <w:noProof/>
            <w:webHidden/>
          </w:rPr>
          <w:fldChar w:fldCharType="begin"/>
        </w:r>
        <w:r>
          <w:rPr>
            <w:noProof/>
            <w:webHidden/>
          </w:rPr>
          <w:instrText xml:space="preserve"> PAGEREF _Toc236813391 \h </w:instrText>
        </w:r>
        <w:r>
          <w:rPr>
            <w:noProof/>
            <w:webHidden/>
          </w:rPr>
        </w:r>
        <w:r>
          <w:rPr>
            <w:noProof/>
            <w:webHidden/>
          </w:rPr>
          <w:fldChar w:fldCharType="separate"/>
        </w:r>
        <w:r>
          <w:rPr>
            <w:noProof/>
            <w:webHidden/>
          </w:rPr>
          <w:t>15</w:t>
        </w:r>
        <w:r>
          <w:rPr>
            <w:noProof/>
            <w:webHidden/>
          </w:rPr>
          <w:fldChar w:fldCharType="end"/>
        </w:r>
      </w:hyperlink>
    </w:p>
    <w:p w14:paraId="228EE1BD" w14:textId="7CA82646"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2" w:history="1">
        <w:r w:rsidRPr="00404C3D">
          <w:rPr>
            <w:rStyle w:val="Hyperlink"/>
            <w:noProof/>
          </w:rPr>
          <w:t>6.4</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Entscheidungspunkt: Richtlinie und Nachweis</w:t>
        </w:r>
        <w:r>
          <w:rPr>
            <w:noProof/>
            <w:webHidden/>
          </w:rPr>
          <w:tab/>
        </w:r>
        <w:r>
          <w:rPr>
            <w:noProof/>
            <w:webHidden/>
          </w:rPr>
          <w:fldChar w:fldCharType="begin"/>
        </w:r>
        <w:r>
          <w:rPr>
            <w:noProof/>
            <w:webHidden/>
          </w:rPr>
          <w:instrText xml:space="preserve"> PAGEREF _Toc236813392 \h </w:instrText>
        </w:r>
        <w:r>
          <w:rPr>
            <w:noProof/>
            <w:webHidden/>
          </w:rPr>
        </w:r>
        <w:r>
          <w:rPr>
            <w:noProof/>
            <w:webHidden/>
          </w:rPr>
          <w:fldChar w:fldCharType="separate"/>
        </w:r>
        <w:r>
          <w:rPr>
            <w:noProof/>
            <w:webHidden/>
          </w:rPr>
          <w:t>15</w:t>
        </w:r>
        <w:r>
          <w:rPr>
            <w:noProof/>
            <w:webHidden/>
          </w:rPr>
          <w:fldChar w:fldCharType="end"/>
        </w:r>
      </w:hyperlink>
    </w:p>
    <w:p w14:paraId="5E76D4E4" w14:textId="4AA8F61E"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93" w:history="1">
        <w:r w:rsidRPr="00404C3D">
          <w:rPr>
            <w:rStyle w:val="Hyperlink"/>
          </w:rPr>
          <w:t>7</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Schulung, Guidance und KI-Kompetenz</w:t>
        </w:r>
        <w:r>
          <w:rPr>
            <w:webHidden/>
          </w:rPr>
          <w:tab/>
        </w:r>
        <w:r>
          <w:rPr>
            <w:webHidden/>
          </w:rPr>
          <w:fldChar w:fldCharType="begin"/>
        </w:r>
        <w:r>
          <w:rPr>
            <w:webHidden/>
          </w:rPr>
          <w:instrText xml:space="preserve"> PAGEREF _Toc236813393 \h </w:instrText>
        </w:r>
        <w:r>
          <w:rPr>
            <w:webHidden/>
          </w:rPr>
        </w:r>
        <w:r>
          <w:rPr>
            <w:webHidden/>
          </w:rPr>
          <w:fldChar w:fldCharType="separate"/>
        </w:r>
        <w:r>
          <w:rPr>
            <w:webHidden/>
          </w:rPr>
          <w:t>16</w:t>
        </w:r>
        <w:r>
          <w:rPr>
            <w:webHidden/>
          </w:rPr>
          <w:fldChar w:fldCharType="end"/>
        </w:r>
      </w:hyperlink>
    </w:p>
    <w:p w14:paraId="0FD228BD" w14:textId="6CCCBFCD"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4" w:history="1">
        <w:r w:rsidRPr="00404C3D">
          <w:rPr>
            <w:rStyle w:val="Hyperlink"/>
            <w:noProof/>
          </w:rPr>
          <w:t>7.1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Lernpfade nach Rolle und Risiko</w:t>
        </w:r>
        <w:r>
          <w:rPr>
            <w:noProof/>
            <w:webHidden/>
          </w:rPr>
          <w:tab/>
        </w:r>
        <w:r>
          <w:rPr>
            <w:noProof/>
            <w:webHidden/>
          </w:rPr>
          <w:fldChar w:fldCharType="begin"/>
        </w:r>
        <w:r>
          <w:rPr>
            <w:noProof/>
            <w:webHidden/>
          </w:rPr>
          <w:instrText xml:space="preserve"> PAGEREF _Toc236813394 \h </w:instrText>
        </w:r>
        <w:r>
          <w:rPr>
            <w:noProof/>
            <w:webHidden/>
          </w:rPr>
        </w:r>
        <w:r>
          <w:rPr>
            <w:noProof/>
            <w:webHidden/>
          </w:rPr>
          <w:fldChar w:fldCharType="separate"/>
        </w:r>
        <w:r>
          <w:rPr>
            <w:noProof/>
            <w:webHidden/>
          </w:rPr>
          <w:t>16</w:t>
        </w:r>
        <w:r>
          <w:rPr>
            <w:noProof/>
            <w:webHidden/>
          </w:rPr>
          <w:fldChar w:fldCharType="end"/>
        </w:r>
      </w:hyperlink>
    </w:p>
    <w:p w14:paraId="0C71A272" w14:textId="0A211B6F"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5" w:history="1">
        <w:r w:rsidRPr="00404C3D">
          <w:rPr>
            <w:rStyle w:val="Hyperlink"/>
            <w:noProof/>
          </w:rPr>
          <w:t>7.2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Inhalt eines wirksamen Schulungsprogramms</w:t>
        </w:r>
        <w:r>
          <w:rPr>
            <w:noProof/>
            <w:webHidden/>
          </w:rPr>
          <w:tab/>
        </w:r>
        <w:r>
          <w:rPr>
            <w:noProof/>
            <w:webHidden/>
          </w:rPr>
          <w:fldChar w:fldCharType="begin"/>
        </w:r>
        <w:r>
          <w:rPr>
            <w:noProof/>
            <w:webHidden/>
          </w:rPr>
          <w:instrText xml:space="preserve"> PAGEREF _Toc236813395 \h </w:instrText>
        </w:r>
        <w:r>
          <w:rPr>
            <w:noProof/>
            <w:webHidden/>
          </w:rPr>
        </w:r>
        <w:r>
          <w:rPr>
            <w:noProof/>
            <w:webHidden/>
          </w:rPr>
          <w:fldChar w:fldCharType="separate"/>
        </w:r>
        <w:r>
          <w:rPr>
            <w:noProof/>
            <w:webHidden/>
          </w:rPr>
          <w:t>16</w:t>
        </w:r>
        <w:r>
          <w:rPr>
            <w:noProof/>
            <w:webHidden/>
          </w:rPr>
          <w:fldChar w:fldCharType="end"/>
        </w:r>
      </w:hyperlink>
    </w:p>
    <w:p w14:paraId="7E71A356" w14:textId="5A13B5FF"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6" w:history="1">
        <w:r w:rsidRPr="00404C3D">
          <w:rPr>
            <w:rStyle w:val="Hyperlink"/>
            <w:noProof/>
          </w:rPr>
          <w:t>7.3</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Nachweise, Auffrischung und Wirksamkeitskontrolle</w:t>
        </w:r>
        <w:r>
          <w:rPr>
            <w:noProof/>
            <w:webHidden/>
          </w:rPr>
          <w:tab/>
        </w:r>
        <w:r>
          <w:rPr>
            <w:noProof/>
            <w:webHidden/>
          </w:rPr>
          <w:fldChar w:fldCharType="begin"/>
        </w:r>
        <w:r>
          <w:rPr>
            <w:noProof/>
            <w:webHidden/>
          </w:rPr>
          <w:instrText xml:space="preserve"> PAGEREF _Toc236813396 \h </w:instrText>
        </w:r>
        <w:r>
          <w:rPr>
            <w:noProof/>
            <w:webHidden/>
          </w:rPr>
        </w:r>
        <w:r>
          <w:rPr>
            <w:noProof/>
            <w:webHidden/>
          </w:rPr>
          <w:fldChar w:fldCharType="separate"/>
        </w:r>
        <w:r>
          <w:rPr>
            <w:noProof/>
            <w:webHidden/>
          </w:rPr>
          <w:t>17</w:t>
        </w:r>
        <w:r>
          <w:rPr>
            <w:noProof/>
            <w:webHidden/>
          </w:rPr>
          <w:fldChar w:fldCharType="end"/>
        </w:r>
      </w:hyperlink>
    </w:p>
    <w:p w14:paraId="689415B9" w14:textId="636AD860"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7" w:history="1">
        <w:r w:rsidRPr="00404C3D">
          <w:rPr>
            <w:rStyle w:val="Hyperlink"/>
            <w:noProof/>
          </w:rPr>
          <w:t>7.4</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Entscheidungspunkt: Schulungs- und Kompetenznachweis</w:t>
        </w:r>
        <w:r>
          <w:rPr>
            <w:noProof/>
            <w:webHidden/>
          </w:rPr>
          <w:tab/>
        </w:r>
        <w:r>
          <w:rPr>
            <w:noProof/>
            <w:webHidden/>
          </w:rPr>
          <w:fldChar w:fldCharType="begin"/>
        </w:r>
        <w:r>
          <w:rPr>
            <w:noProof/>
            <w:webHidden/>
          </w:rPr>
          <w:instrText xml:space="preserve"> PAGEREF _Toc236813397 \h </w:instrText>
        </w:r>
        <w:r>
          <w:rPr>
            <w:noProof/>
            <w:webHidden/>
          </w:rPr>
        </w:r>
        <w:r>
          <w:rPr>
            <w:noProof/>
            <w:webHidden/>
          </w:rPr>
          <w:fldChar w:fldCharType="separate"/>
        </w:r>
        <w:r>
          <w:rPr>
            <w:noProof/>
            <w:webHidden/>
          </w:rPr>
          <w:t>17</w:t>
        </w:r>
        <w:r>
          <w:rPr>
            <w:noProof/>
            <w:webHidden/>
          </w:rPr>
          <w:fldChar w:fldCharType="end"/>
        </w:r>
      </w:hyperlink>
    </w:p>
    <w:p w14:paraId="1412413D" w14:textId="1C3309E6"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398" w:history="1">
        <w:r w:rsidRPr="00404C3D">
          <w:rPr>
            <w:rStyle w:val="Hyperlink"/>
          </w:rPr>
          <w:t>8</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CloudLights: Check-up und Schulungsbegleitung</w:t>
        </w:r>
        <w:r>
          <w:rPr>
            <w:webHidden/>
          </w:rPr>
          <w:tab/>
        </w:r>
        <w:r>
          <w:rPr>
            <w:webHidden/>
          </w:rPr>
          <w:fldChar w:fldCharType="begin"/>
        </w:r>
        <w:r>
          <w:rPr>
            <w:webHidden/>
          </w:rPr>
          <w:instrText xml:space="preserve"> PAGEREF _Toc236813398 \h </w:instrText>
        </w:r>
        <w:r>
          <w:rPr>
            <w:webHidden/>
          </w:rPr>
        </w:r>
        <w:r>
          <w:rPr>
            <w:webHidden/>
          </w:rPr>
          <w:fldChar w:fldCharType="separate"/>
        </w:r>
        <w:r>
          <w:rPr>
            <w:webHidden/>
          </w:rPr>
          <w:t>18</w:t>
        </w:r>
        <w:r>
          <w:rPr>
            <w:webHidden/>
          </w:rPr>
          <w:fldChar w:fldCharType="end"/>
        </w:r>
      </w:hyperlink>
    </w:p>
    <w:p w14:paraId="1B5D6B46" w14:textId="05C80362"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399" w:history="1">
        <w:r w:rsidRPr="00404C3D">
          <w:rPr>
            <w:rStyle w:val="Hyperlink"/>
            <w:noProof/>
          </w:rPr>
          <w:t>8.1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Copilot-Check-up: typische Ergebnisse</w:t>
        </w:r>
        <w:r>
          <w:rPr>
            <w:noProof/>
            <w:webHidden/>
          </w:rPr>
          <w:tab/>
        </w:r>
        <w:r>
          <w:rPr>
            <w:noProof/>
            <w:webHidden/>
          </w:rPr>
          <w:fldChar w:fldCharType="begin"/>
        </w:r>
        <w:r>
          <w:rPr>
            <w:noProof/>
            <w:webHidden/>
          </w:rPr>
          <w:instrText xml:space="preserve"> PAGEREF _Toc236813399 \h </w:instrText>
        </w:r>
        <w:r>
          <w:rPr>
            <w:noProof/>
            <w:webHidden/>
          </w:rPr>
        </w:r>
        <w:r>
          <w:rPr>
            <w:noProof/>
            <w:webHidden/>
          </w:rPr>
          <w:fldChar w:fldCharType="separate"/>
        </w:r>
        <w:r>
          <w:rPr>
            <w:noProof/>
            <w:webHidden/>
          </w:rPr>
          <w:t>18</w:t>
        </w:r>
        <w:r>
          <w:rPr>
            <w:noProof/>
            <w:webHidden/>
          </w:rPr>
          <w:fldChar w:fldCharType="end"/>
        </w:r>
      </w:hyperlink>
    </w:p>
    <w:p w14:paraId="69E9130D" w14:textId="74413698"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00" w:history="1">
        <w:r w:rsidRPr="00404C3D">
          <w:rPr>
            <w:rStyle w:val="Hyperlink"/>
            <w:noProof/>
          </w:rPr>
          <w:t>8.2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Schulung und Change-Begleitung</w:t>
        </w:r>
        <w:r>
          <w:rPr>
            <w:noProof/>
            <w:webHidden/>
          </w:rPr>
          <w:tab/>
        </w:r>
        <w:r>
          <w:rPr>
            <w:noProof/>
            <w:webHidden/>
          </w:rPr>
          <w:fldChar w:fldCharType="begin"/>
        </w:r>
        <w:r>
          <w:rPr>
            <w:noProof/>
            <w:webHidden/>
          </w:rPr>
          <w:instrText xml:space="preserve"> PAGEREF _Toc236813400 \h </w:instrText>
        </w:r>
        <w:r>
          <w:rPr>
            <w:noProof/>
            <w:webHidden/>
          </w:rPr>
        </w:r>
        <w:r>
          <w:rPr>
            <w:noProof/>
            <w:webHidden/>
          </w:rPr>
          <w:fldChar w:fldCharType="separate"/>
        </w:r>
        <w:r>
          <w:rPr>
            <w:noProof/>
            <w:webHidden/>
          </w:rPr>
          <w:t>18</w:t>
        </w:r>
        <w:r>
          <w:rPr>
            <w:noProof/>
            <w:webHidden/>
          </w:rPr>
          <w:fldChar w:fldCharType="end"/>
        </w:r>
      </w:hyperlink>
    </w:p>
    <w:p w14:paraId="2D8CC386" w14:textId="78C99F3E"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401" w:history="1">
        <w:r w:rsidRPr="00404C3D">
          <w:rPr>
            <w:rStyle w:val="Hyperlink"/>
          </w:rPr>
          <w:t>9</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Risiko- und Rollenmodell</w:t>
        </w:r>
        <w:r>
          <w:rPr>
            <w:webHidden/>
          </w:rPr>
          <w:tab/>
        </w:r>
        <w:r>
          <w:rPr>
            <w:webHidden/>
          </w:rPr>
          <w:fldChar w:fldCharType="begin"/>
        </w:r>
        <w:r>
          <w:rPr>
            <w:webHidden/>
          </w:rPr>
          <w:instrText xml:space="preserve"> PAGEREF _Toc236813401 \h </w:instrText>
        </w:r>
        <w:r>
          <w:rPr>
            <w:webHidden/>
          </w:rPr>
        </w:r>
        <w:r>
          <w:rPr>
            <w:webHidden/>
          </w:rPr>
          <w:fldChar w:fldCharType="separate"/>
        </w:r>
        <w:r>
          <w:rPr>
            <w:webHidden/>
          </w:rPr>
          <w:t>19</w:t>
        </w:r>
        <w:r>
          <w:rPr>
            <w:webHidden/>
          </w:rPr>
          <w:fldChar w:fldCharType="end"/>
        </w:r>
      </w:hyperlink>
    </w:p>
    <w:p w14:paraId="0C35B171" w14:textId="119859A3"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02" w:history="1">
        <w:r w:rsidRPr="00404C3D">
          <w:rPr>
            <w:rStyle w:val="Hyperlink"/>
            <w:noProof/>
          </w:rPr>
          <w:t>9.1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Kompakte Risikomatrix</w:t>
        </w:r>
        <w:r>
          <w:rPr>
            <w:noProof/>
            <w:webHidden/>
          </w:rPr>
          <w:tab/>
        </w:r>
        <w:r>
          <w:rPr>
            <w:noProof/>
            <w:webHidden/>
          </w:rPr>
          <w:fldChar w:fldCharType="begin"/>
        </w:r>
        <w:r>
          <w:rPr>
            <w:noProof/>
            <w:webHidden/>
          </w:rPr>
          <w:instrText xml:space="preserve"> PAGEREF _Toc236813402 \h </w:instrText>
        </w:r>
        <w:r>
          <w:rPr>
            <w:noProof/>
            <w:webHidden/>
          </w:rPr>
        </w:r>
        <w:r>
          <w:rPr>
            <w:noProof/>
            <w:webHidden/>
          </w:rPr>
          <w:fldChar w:fldCharType="separate"/>
        </w:r>
        <w:r>
          <w:rPr>
            <w:noProof/>
            <w:webHidden/>
          </w:rPr>
          <w:t>19</w:t>
        </w:r>
        <w:r>
          <w:rPr>
            <w:noProof/>
            <w:webHidden/>
          </w:rPr>
          <w:fldChar w:fldCharType="end"/>
        </w:r>
      </w:hyperlink>
    </w:p>
    <w:p w14:paraId="02E4F3A7" w14:textId="2A66881B"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03" w:history="1">
        <w:r w:rsidRPr="00404C3D">
          <w:rPr>
            <w:rStyle w:val="Hyperlink"/>
            <w:noProof/>
          </w:rPr>
          <w:t>9.2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Rollen und Verantwortlichkeiten</w:t>
        </w:r>
        <w:r>
          <w:rPr>
            <w:noProof/>
            <w:webHidden/>
          </w:rPr>
          <w:tab/>
        </w:r>
        <w:r>
          <w:rPr>
            <w:noProof/>
            <w:webHidden/>
          </w:rPr>
          <w:fldChar w:fldCharType="begin"/>
        </w:r>
        <w:r>
          <w:rPr>
            <w:noProof/>
            <w:webHidden/>
          </w:rPr>
          <w:instrText xml:space="preserve"> PAGEREF _Toc236813403 \h </w:instrText>
        </w:r>
        <w:r>
          <w:rPr>
            <w:noProof/>
            <w:webHidden/>
          </w:rPr>
        </w:r>
        <w:r>
          <w:rPr>
            <w:noProof/>
            <w:webHidden/>
          </w:rPr>
          <w:fldChar w:fldCharType="separate"/>
        </w:r>
        <w:r>
          <w:rPr>
            <w:noProof/>
            <w:webHidden/>
          </w:rPr>
          <w:t>19</w:t>
        </w:r>
        <w:r>
          <w:rPr>
            <w:noProof/>
            <w:webHidden/>
          </w:rPr>
          <w:fldChar w:fldCharType="end"/>
        </w:r>
      </w:hyperlink>
    </w:p>
    <w:p w14:paraId="2463F89B" w14:textId="64A32855"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404" w:history="1">
        <w:r w:rsidRPr="00404C3D">
          <w:rPr>
            <w:rStyle w:val="Hyperlink"/>
          </w:rPr>
          <w:t>10</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Maßnahmenkatalog für den Copilot-Rollout</w:t>
        </w:r>
        <w:r>
          <w:rPr>
            <w:webHidden/>
          </w:rPr>
          <w:tab/>
        </w:r>
        <w:r>
          <w:rPr>
            <w:webHidden/>
          </w:rPr>
          <w:fldChar w:fldCharType="begin"/>
        </w:r>
        <w:r>
          <w:rPr>
            <w:webHidden/>
          </w:rPr>
          <w:instrText xml:space="preserve"> PAGEREF _Toc236813404 \h </w:instrText>
        </w:r>
        <w:r>
          <w:rPr>
            <w:webHidden/>
          </w:rPr>
        </w:r>
        <w:r>
          <w:rPr>
            <w:webHidden/>
          </w:rPr>
          <w:fldChar w:fldCharType="separate"/>
        </w:r>
        <w:r>
          <w:rPr>
            <w:webHidden/>
          </w:rPr>
          <w:t>20</w:t>
        </w:r>
        <w:r>
          <w:rPr>
            <w:webHidden/>
          </w:rPr>
          <w:fldChar w:fldCharType="end"/>
        </w:r>
      </w:hyperlink>
    </w:p>
    <w:p w14:paraId="2A4508DC" w14:textId="127F51D1"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405" w:history="1">
        <w:r w:rsidRPr="00404C3D">
          <w:rPr>
            <w:rStyle w:val="Hyperlink"/>
          </w:rPr>
          <w:t>11</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90-Tage-Plan</w:t>
        </w:r>
        <w:r>
          <w:rPr>
            <w:webHidden/>
          </w:rPr>
          <w:tab/>
        </w:r>
        <w:r>
          <w:rPr>
            <w:webHidden/>
          </w:rPr>
          <w:fldChar w:fldCharType="begin"/>
        </w:r>
        <w:r>
          <w:rPr>
            <w:webHidden/>
          </w:rPr>
          <w:instrText xml:space="preserve"> PAGEREF _Toc236813405 \h </w:instrText>
        </w:r>
        <w:r>
          <w:rPr>
            <w:webHidden/>
          </w:rPr>
        </w:r>
        <w:r>
          <w:rPr>
            <w:webHidden/>
          </w:rPr>
          <w:fldChar w:fldCharType="separate"/>
        </w:r>
        <w:r>
          <w:rPr>
            <w:webHidden/>
          </w:rPr>
          <w:t>21</w:t>
        </w:r>
        <w:r>
          <w:rPr>
            <w:webHidden/>
          </w:rPr>
          <w:fldChar w:fldCharType="end"/>
        </w:r>
      </w:hyperlink>
    </w:p>
    <w:p w14:paraId="3571B365" w14:textId="79506BEB"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406" w:history="1">
        <w:r w:rsidRPr="00404C3D">
          <w:rPr>
            <w:rStyle w:val="Hyperlink"/>
          </w:rPr>
          <w:t>12</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Nachweise und Regelbetrieb</w:t>
        </w:r>
        <w:r>
          <w:rPr>
            <w:webHidden/>
          </w:rPr>
          <w:tab/>
        </w:r>
        <w:r>
          <w:rPr>
            <w:webHidden/>
          </w:rPr>
          <w:fldChar w:fldCharType="begin"/>
        </w:r>
        <w:r>
          <w:rPr>
            <w:webHidden/>
          </w:rPr>
          <w:instrText xml:space="preserve"> PAGEREF _Toc236813406 \h </w:instrText>
        </w:r>
        <w:r>
          <w:rPr>
            <w:webHidden/>
          </w:rPr>
        </w:r>
        <w:r>
          <w:rPr>
            <w:webHidden/>
          </w:rPr>
          <w:fldChar w:fldCharType="separate"/>
        </w:r>
        <w:r>
          <w:rPr>
            <w:webHidden/>
          </w:rPr>
          <w:t>22</w:t>
        </w:r>
        <w:r>
          <w:rPr>
            <w:webHidden/>
          </w:rPr>
          <w:fldChar w:fldCharType="end"/>
        </w:r>
      </w:hyperlink>
    </w:p>
    <w:p w14:paraId="65FBEA81" w14:textId="188670A2"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07" w:history="1">
        <w:r w:rsidRPr="00404C3D">
          <w:rPr>
            <w:rStyle w:val="Hyperlink"/>
            <w:noProof/>
          </w:rPr>
          <w:t>12.1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Mindestbestand eines Audit- und Nachweispakets</w:t>
        </w:r>
        <w:r>
          <w:rPr>
            <w:noProof/>
            <w:webHidden/>
          </w:rPr>
          <w:tab/>
        </w:r>
        <w:r>
          <w:rPr>
            <w:noProof/>
            <w:webHidden/>
          </w:rPr>
          <w:fldChar w:fldCharType="begin"/>
        </w:r>
        <w:r>
          <w:rPr>
            <w:noProof/>
            <w:webHidden/>
          </w:rPr>
          <w:instrText xml:space="preserve"> PAGEREF _Toc236813407 \h </w:instrText>
        </w:r>
        <w:r>
          <w:rPr>
            <w:noProof/>
            <w:webHidden/>
          </w:rPr>
        </w:r>
        <w:r>
          <w:rPr>
            <w:noProof/>
            <w:webHidden/>
          </w:rPr>
          <w:fldChar w:fldCharType="separate"/>
        </w:r>
        <w:r>
          <w:rPr>
            <w:noProof/>
            <w:webHidden/>
          </w:rPr>
          <w:t>22</w:t>
        </w:r>
        <w:r>
          <w:rPr>
            <w:noProof/>
            <w:webHidden/>
          </w:rPr>
          <w:fldChar w:fldCharType="end"/>
        </w:r>
      </w:hyperlink>
    </w:p>
    <w:p w14:paraId="0C603547" w14:textId="06275299"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08" w:history="1">
        <w:r w:rsidRPr="00404C3D">
          <w:rPr>
            <w:rStyle w:val="Hyperlink"/>
            <w:noProof/>
          </w:rPr>
          <w:t>12.2</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Monatlicher und quartalsweiser Review</w:t>
        </w:r>
        <w:r>
          <w:rPr>
            <w:noProof/>
            <w:webHidden/>
          </w:rPr>
          <w:tab/>
        </w:r>
        <w:r>
          <w:rPr>
            <w:noProof/>
            <w:webHidden/>
          </w:rPr>
          <w:fldChar w:fldCharType="begin"/>
        </w:r>
        <w:r>
          <w:rPr>
            <w:noProof/>
            <w:webHidden/>
          </w:rPr>
          <w:instrText xml:space="preserve"> PAGEREF _Toc236813408 \h </w:instrText>
        </w:r>
        <w:r>
          <w:rPr>
            <w:noProof/>
            <w:webHidden/>
          </w:rPr>
        </w:r>
        <w:r>
          <w:rPr>
            <w:noProof/>
            <w:webHidden/>
          </w:rPr>
          <w:fldChar w:fldCharType="separate"/>
        </w:r>
        <w:r>
          <w:rPr>
            <w:noProof/>
            <w:webHidden/>
          </w:rPr>
          <w:t>22</w:t>
        </w:r>
        <w:r>
          <w:rPr>
            <w:noProof/>
            <w:webHidden/>
          </w:rPr>
          <w:fldChar w:fldCharType="end"/>
        </w:r>
      </w:hyperlink>
    </w:p>
    <w:p w14:paraId="61E8932C" w14:textId="4B27B1EE"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09" w:history="1">
        <w:r w:rsidRPr="00404C3D">
          <w:rPr>
            <w:rStyle w:val="Hyperlink"/>
            <w:noProof/>
          </w:rPr>
          <w:t>12.3</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Steuerungskennzahlen für die Management-Sicht</w:t>
        </w:r>
        <w:r>
          <w:rPr>
            <w:noProof/>
            <w:webHidden/>
          </w:rPr>
          <w:tab/>
        </w:r>
        <w:r>
          <w:rPr>
            <w:noProof/>
            <w:webHidden/>
          </w:rPr>
          <w:fldChar w:fldCharType="begin"/>
        </w:r>
        <w:r>
          <w:rPr>
            <w:noProof/>
            <w:webHidden/>
          </w:rPr>
          <w:instrText xml:space="preserve"> PAGEREF _Toc236813409 \h </w:instrText>
        </w:r>
        <w:r>
          <w:rPr>
            <w:noProof/>
            <w:webHidden/>
          </w:rPr>
        </w:r>
        <w:r>
          <w:rPr>
            <w:noProof/>
            <w:webHidden/>
          </w:rPr>
          <w:fldChar w:fldCharType="separate"/>
        </w:r>
        <w:r>
          <w:rPr>
            <w:noProof/>
            <w:webHidden/>
          </w:rPr>
          <w:t>23</w:t>
        </w:r>
        <w:r>
          <w:rPr>
            <w:noProof/>
            <w:webHidden/>
          </w:rPr>
          <w:fldChar w:fldCharType="end"/>
        </w:r>
      </w:hyperlink>
    </w:p>
    <w:p w14:paraId="3262E989" w14:textId="10FBA80F"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10" w:history="1">
        <w:r w:rsidRPr="00404C3D">
          <w:rPr>
            <w:rStyle w:val="Hyperlink"/>
            <w:noProof/>
          </w:rPr>
          <w:t>12.4</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Anhang: Vorlagenfelder für die Nachweisablage</w:t>
        </w:r>
        <w:r>
          <w:rPr>
            <w:noProof/>
            <w:webHidden/>
          </w:rPr>
          <w:tab/>
        </w:r>
        <w:r>
          <w:rPr>
            <w:noProof/>
            <w:webHidden/>
          </w:rPr>
          <w:fldChar w:fldCharType="begin"/>
        </w:r>
        <w:r>
          <w:rPr>
            <w:noProof/>
            <w:webHidden/>
          </w:rPr>
          <w:instrText xml:space="preserve"> PAGEREF _Toc236813410 \h </w:instrText>
        </w:r>
        <w:r>
          <w:rPr>
            <w:noProof/>
            <w:webHidden/>
          </w:rPr>
        </w:r>
        <w:r>
          <w:rPr>
            <w:noProof/>
            <w:webHidden/>
          </w:rPr>
          <w:fldChar w:fldCharType="separate"/>
        </w:r>
        <w:r>
          <w:rPr>
            <w:noProof/>
            <w:webHidden/>
          </w:rPr>
          <w:t>23</w:t>
        </w:r>
        <w:r>
          <w:rPr>
            <w:noProof/>
            <w:webHidden/>
          </w:rPr>
          <w:fldChar w:fldCharType="end"/>
        </w:r>
      </w:hyperlink>
    </w:p>
    <w:p w14:paraId="17A5EB7D" w14:textId="1FB06D34"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11" w:history="1">
        <w:r w:rsidRPr="00404C3D">
          <w:rPr>
            <w:rStyle w:val="Hyperlink"/>
            <w:noProof/>
          </w:rPr>
          <w:t>12.5</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Nachweisbericht aus der HTML-Checkliste</w:t>
        </w:r>
        <w:r>
          <w:rPr>
            <w:noProof/>
            <w:webHidden/>
          </w:rPr>
          <w:tab/>
        </w:r>
        <w:r>
          <w:rPr>
            <w:noProof/>
            <w:webHidden/>
          </w:rPr>
          <w:fldChar w:fldCharType="begin"/>
        </w:r>
        <w:r>
          <w:rPr>
            <w:noProof/>
            <w:webHidden/>
          </w:rPr>
          <w:instrText xml:space="preserve"> PAGEREF _Toc236813411 \h </w:instrText>
        </w:r>
        <w:r>
          <w:rPr>
            <w:noProof/>
            <w:webHidden/>
          </w:rPr>
        </w:r>
        <w:r>
          <w:rPr>
            <w:noProof/>
            <w:webHidden/>
          </w:rPr>
          <w:fldChar w:fldCharType="separate"/>
        </w:r>
        <w:r>
          <w:rPr>
            <w:noProof/>
            <w:webHidden/>
          </w:rPr>
          <w:t>23</w:t>
        </w:r>
        <w:r>
          <w:rPr>
            <w:noProof/>
            <w:webHidden/>
          </w:rPr>
          <w:fldChar w:fldCharType="end"/>
        </w:r>
      </w:hyperlink>
    </w:p>
    <w:p w14:paraId="5347CF29" w14:textId="741F21B6" w:rsidR="00302B42" w:rsidRDefault="00302B42">
      <w:pPr>
        <w:pStyle w:val="Verzeichnis1"/>
        <w:rPr>
          <w:rFonts w:asciiTheme="minorHAnsi" w:eastAsiaTheme="minorEastAsia" w:hAnsiTheme="minorHAnsi" w:cstheme="minorBidi"/>
          <w:b w:val="0"/>
          <w:bCs w:val="0"/>
          <w:color w:val="auto"/>
          <w:kern w:val="2"/>
          <w:sz w:val="24"/>
          <w:szCs w:val="24"/>
          <w14:ligatures w14:val="standardContextual"/>
        </w:rPr>
      </w:pPr>
      <w:hyperlink w:anchor="_Toc236813412" w:history="1">
        <w:r w:rsidRPr="00404C3D">
          <w:rPr>
            <w:rStyle w:val="Hyperlink"/>
          </w:rPr>
          <w:t>13</w:t>
        </w:r>
        <w:r>
          <w:rPr>
            <w:rFonts w:asciiTheme="minorHAnsi" w:eastAsiaTheme="minorEastAsia" w:hAnsiTheme="minorHAnsi" w:cstheme="minorBidi"/>
            <w:b w:val="0"/>
            <w:bCs w:val="0"/>
            <w:color w:val="auto"/>
            <w:kern w:val="2"/>
            <w:sz w:val="24"/>
            <w:szCs w:val="24"/>
            <w14:ligatures w14:val="standardContextual"/>
          </w:rPr>
          <w:tab/>
        </w:r>
        <w:r w:rsidRPr="00404C3D">
          <w:rPr>
            <w:rStyle w:val="Hyperlink"/>
            <w:rFonts w:cs="Calibri"/>
          </w:rPr>
          <w:t>Nachweise, Quellen und interne Freigabe</w:t>
        </w:r>
        <w:r>
          <w:rPr>
            <w:webHidden/>
          </w:rPr>
          <w:tab/>
        </w:r>
        <w:r>
          <w:rPr>
            <w:webHidden/>
          </w:rPr>
          <w:fldChar w:fldCharType="begin"/>
        </w:r>
        <w:r>
          <w:rPr>
            <w:webHidden/>
          </w:rPr>
          <w:instrText xml:space="preserve"> PAGEREF _Toc236813412 \h </w:instrText>
        </w:r>
        <w:r>
          <w:rPr>
            <w:webHidden/>
          </w:rPr>
        </w:r>
        <w:r>
          <w:rPr>
            <w:webHidden/>
          </w:rPr>
          <w:fldChar w:fldCharType="separate"/>
        </w:r>
        <w:r>
          <w:rPr>
            <w:webHidden/>
          </w:rPr>
          <w:t>25</w:t>
        </w:r>
        <w:r>
          <w:rPr>
            <w:webHidden/>
          </w:rPr>
          <w:fldChar w:fldCharType="end"/>
        </w:r>
      </w:hyperlink>
    </w:p>
    <w:p w14:paraId="04E32CF1" w14:textId="36FB546C" w:rsidR="00302B42" w:rsidRDefault="00302B42">
      <w:pPr>
        <w:pStyle w:val="Verzeichnis2"/>
        <w:rPr>
          <w:rFonts w:asciiTheme="minorHAnsi" w:eastAsiaTheme="minorEastAsia" w:hAnsiTheme="minorHAnsi" w:cstheme="minorBidi"/>
          <w:noProof/>
          <w:color w:val="auto"/>
          <w:kern w:val="2"/>
          <w:sz w:val="24"/>
          <w:szCs w:val="24"/>
          <w14:ligatures w14:val="standardContextual"/>
        </w:rPr>
      </w:pPr>
      <w:hyperlink w:anchor="_Toc236813413" w:history="1">
        <w:r w:rsidRPr="00404C3D">
          <w:rPr>
            <w:rStyle w:val="Hyperlink"/>
            <w:noProof/>
          </w:rPr>
          <w:t>13.1</w:t>
        </w:r>
        <w:r>
          <w:rPr>
            <w:rFonts w:asciiTheme="minorHAnsi" w:eastAsiaTheme="minorEastAsia" w:hAnsiTheme="minorHAnsi" w:cstheme="minorBidi"/>
            <w:noProof/>
            <w:color w:val="auto"/>
            <w:kern w:val="2"/>
            <w:sz w:val="24"/>
            <w:szCs w:val="24"/>
            <w14:ligatures w14:val="standardContextual"/>
          </w:rPr>
          <w:tab/>
        </w:r>
        <w:r w:rsidRPr="00404C3D">
          <w:rPr>
            <w:rStyle w:val="Hyperlink"/>
            <w:noProof/>
          </w:rPr>
          <w:t>Kurzprotokoll für die interne Freigabe</w:t>
        </w:r>
        <w:r>
          <w:rPr>
            <w:noProof/>
            <w:webHidden/>
          </w:rPr>
          <w:tab/>
        </w:r>
        <w:r>
          <w:rPr>
            <w:noProof/>
            <w:webHidden/>
          </w:rPr>
          <w:fldChar w:fldCharType="begin"/>
        </w:r>
        <w:r>
          <w:rPr>
            <w:noProof/>
            <w:webHidden/>
          </w:rPr>
          <w:instrText xml:space="preserve"> PAGEREF _Toc236813413 \h </w:instrText>
        </w:r>
        <w:r>
          <w:rPr>
            <w:noProof/>
            <w:webHidden/>
          </w:rPr>
        </w:r>
        <w:r>
          <w:rPr>
            <w:noProof/>
            <w:webHidden/>
          </w:rPr>
          <w:fldChar w:fldCharType="separate"/>
        </w:r>
        <w:r>
          <w:rPr>
            <w:noProof/>
            <w:webHidden/>
          </w:rPr>
          <w:t>26</w:t>
        </w:r>
        <w:r>
          <w:rPr>
            <w:noProof/>
            <w:webHidden/>
          </w:rPr>
          <w:fldChar w:fldCharType="end"/>
        </w:r>
      </w:hyperlink>
    </w:p>
    <w:p w14:paraId="5D90E03A" w14:textId="1A3FD340" w:rsidR="00D80E44" w:rsidRDefault="004530DE">
      <w:pPr>
        <w:pStyle w:val="Verzeichnis1"/>
      </w:pPr>
      <w:r>
        <w:fldChar w:fldCharType="end"/>
      </w:r>
    </w:p>
    <w:p w14:paraId="19F6FC72" w14:textId="77777777" w:rsidR="00D80E44" w:rsidRDefault="004530DE">
      <w:r>
        <w:br w:type="page"/>
      </w:r>
    </w:p>
    <w:p w14:paraId="333F600E" w14:textId="52835064" w:rsidR="00D80E44" w:rsidRDefault="004530DE">
      <w:pPr>
        <w:pStyle w:val="berschrift1"/>
      </w:pPr>
      <w:bookmarkStart w:id="0" w:name="_Toc236813366"/>
      <w:r>
        <w:rPr>
          <w:rFonts w:cs="Calibri"/>
        </w:rPr>
        <w:lastRenderedPageBreak/>
        <w:t>Management Summary</w:t>
      </w:r>
      <w:bookmarkEnd w:id="0"/>
    </w:p>
    <w:p w14:paraId="2154CD3C" w14:textId="77777777" w:rsidR="00D80E44" w:rsidRDefault="004530DE">
      <w:r>
        <w:rPr>
          <w:rFonts w:cs="Calibri"/>
        </w:rPr>
        <w:t>Microsoft 365 Copilot kann Wissen, Kommunikation und Routinearbeit beschleunigen. Der größte praktische Risikofaktor ist jedoch nicht das Modell allein, sondern die Summe aus bestehenden Berechtigungen, unklaren Einsatzgrenzen und fehlender Befähigung der Nutzenden.</w:t>
      </w:r>
    </w:p>
    <w:tbl>
      <w:tblPr>
        <w:tblW w:w="9780" w:type="dxa"/>
        <w:tblInd w:w="120" w:type="dxa"/>
        <w:tblLayout w:type="fixed"/>
        <w:tblLook w:val="04A0" w:firstRow="1" w:lastRow="0" w:firstColumn="1" w:lastColumn="0" w:noHBand="0" w:noVBand="1"/>
      </w:tblPr>
      <w:tblGrid>
        <w:gridCol w:w="9780"/>
      </w:tblGrid>
      <w:tr w:rsidR="00D80E44" w14:paraId="3C4DB2D2" w14:textId="77777777">
        <w:tc>
          <w:tcPr>
            <w:tcW w:w="9780" w:type="dxa"/>
            <w:tcBorders>
              <w:top w:val="single" w:sz="10" w:space="0" w:color="22B24C"/>
              <w:left w:val="single" w:sz="10" w:space="0" w:color="22B24C"/>
              <w:bottom w:val="single" w:sz="10" w:space="0" w:color="22B24C"/>
              <w:right w:val="single" w:sz="10" w:space="0" w:color="22B24C"/>
            </w:tcBorders>
            <w:shd w:val="clear" w:color="auto" w:fill="EDF8F0"/>
            <w:tcMar>
              <w:top w:w="80" w:type="dxa"/>
              <w:left w:w="120" w:type="dxa"/>
              <w:bottom w:w="80" w:type="dxa"/>
              <w:right w:w="120" w:type="dxa"/>
            </w:tcMar>
            <w:vAlign w:val="center"/>
          </w:tcPr>
          <w:p w14:paraId="4D522999" w14:textId="77777777" w:rsidR="00D80E44" w:rsidRDefault="004530DE">
            <w:pPr>
              <w:spacing w:after="60"/>
            </w:pPr>
            <w:r>
              <w:rPr>
                <w:rFonts w:cs="Calibri"/>
                <w:b/>
                <w:color w:val="333333"/>
                <w:sz w:val="21"/>
              </w:rPr>
              <w:t>Empfehlung für den Start</w:t>
            </w:r>
          </w:p>
          <w:p w14:paraId="6412B243" w14:textId="77777777" w:rsidR="00D80E44" w:rsidRDefault="004530DE">
            <w:pPr>
              <w:spacing w:after="0"/>
            </w:pPr>
            <w:r>
              <w:rPr>
                <w:rFonts w:cs="Calibri"/>
                <w:sz w:val="21"/>
              </w:rPr>
              <w:t>Mit einem begrenzten Pilotkreis beginnen. Vor der breiten Lizenzierung müssen Berechtigungen, Informationsschutz, zulässige Anwendungsfälle, Schulung und ein dokumentierter Freigabeprozess stehen.</w:t>
            </w:r>
          </w:p>
        </w:tc>
      </w:tr>
    </w:tbl>
    <w:p w14:paraId="0BD1ED25" w14:textId="77777777" w:rsidR="00D80E44" w:rsidRDefault="00D80E44">
      <w:pPr>
        <w:spacing w:after="0"/>
      </w:pPr>
    </w:p>
    <w:p w14:paraId="0F836987" w14:textId="77777777" w:rsidR="00D80E44" w:rsidRDefault="004530DE" w:rsidP="00D542F3">
      <w:pPr>
        <w:pStyle w:val="berschrift2"/>
      </w:pPr>
      <w:bookmarkStart w:id="1" w:name="_Toc236813367"/>
      <w:r>
        <w:t>Was ein typisches Unternehmen jetzt braucht</w:t>
      </w:r>
      <w:bookmarkEnd w:id="1"/>
    </w:p>
    <w:p w14:paraId="3F7425A7" w14:textId="77777777" w:rsidR="00D80E44" w:rsidRDefault="004530DE">
      <w:pPr>
        <w:pStyle w:val="Listenabsatz"/>
        <w:ind w:left="720" w:hanging="360"/>
      </w:pPr>
      <w:r>
        <w:rPr>
          <w:rFonts w:cs="Calibri"/>
        </w:rPr>
        <w:t>Einen klar abgegrenzten Einsatzbereich für Microsoft 365 Copilot, Copilot Chat, eigene Agents und verbundene Datenquellen.</w:t>
      </w:r>
    </w:p>
    <w:p w14:paraId="65D547B0" w14:textId="77777777" w:rsidR="00D80E44" w:rsidRDefault="004530DE">
      <w:pPr>
        <w:pStyle w:val="Listenabsatz"/>
        <w:ind w:left="720" w:hanging="360"/>
      </w:pPr>
      <w:r>
        <w:rPr>
          <w:rFonts w:cs="Calibri"/>
        </w:rPr>
        <w:t>Eine verantwortliche Rolle für KI-Governance, mit verbindlicher Einbindung von IT, Datenschutz und bei Bedarf Betriebsrat bzw. Personalvertretung.</w:t>
      </w:r>
    </w:p>
    <w:p w14:paraId="422C2AD7" w14:textId="77777777" w:rsidR="00D80E44" w:rsidRDefault="004530DE">
      <w:pPr>
        <w:pStyle w:val="Listenabsatz"/>
        <w:ind w:left="720" w:hanging="360"/>
      </w:pPr>
      <w:r>
        <w:rPr>
          <w:rFonts w:cs="Calibri"/>
        </w:rPr>
        <w:t>Eine alltagstaugliche Nutzungsleitlinie: welche Daten und Aufgaben zulässig sind, wann Freigaben notwendig werden und wie Ergebnisse überprüft werden.</w:t>
      </w:r>
    </w:p>
    <w:p w14:paraId="33745645" w14:textId="77777777" w:rsidR="00D80E44" w:rsidRDefault="004530DE">
      <w:pPr>
        <w:pStyle w:val="Listenabsatz"/>
        <w:ind w:left="720" w:hanging="360"/>
      </w:pPr>
      <w:r>
        <w:rPr>
          <w:rFonts w:cs="Calibri"/>
        </w:rPr>
        <w:t>Eine technische Grundsicherung aus Berechtigungsbereinigung, Sensitivity Labels, DLP, Audit, Retention, MFA und kontrollierten externen Datenzugriffen.</w:t>
      </w:r>
    </w:p>
    <w:p w14:paraId="111E5894" w14:textId="77777777" w:rsidR="00D80E44" w:rsidRDefault="004530DE">
      <w:pPr>
        <w:pStyle w:val="Listenabsatz"/>
        <w:ind w:left="720" w:hanging="360"/>
      </w:pPr>
      <w:r>
        <w:rPr>
          <w:rFonts w:cs="Calibri"/>
        </w:rPr>
        <w:t>Rollenbezogene KI-Kompetenzmaßnahmen nach Art. 4 AI Act und nachvollziehbare Nachweise über Schulung bzw. Guidance.</w:t>
      </w:r>
    </w:p>
    <w:p w14:paraId="5438F27E" w14:textId="77777777" w:rsidR="00D80E44" w:rsidRDefault="004530DE" w:rsidP="00D542F3">
      <w:pPr>
        <w:pStyle w:val="berschrift2"/>
      </w:pPr>
      <w:bookmarkStart w:id="2" w:name="_Toc236813368"/>
      <w:r>
        <w:t>Entscheidungsgate vor dem breiten Rollout</w:t>
      </w:r>
      <w:bookmarkEnd w:id="2"/>
    </w:p>
    <w:tbl>
      <w:tblPr>
        <w:tblW w:w="9780" w:type="dxa"/>
        <w:tblInd w:w="120" w:type="dxa"/>
        <w:tblLayout w:type="fixed"/>
        <w:tblLook w:val="04A0" w:firstRow="1" w:lastRow="0" w:firstColumn="1" w:lastColumn="0" w:noHBand="0" w:noVBand="1"/>
      </w:tblPr>
      <w:tblGrid>
        <w:gridCol w:w="3291"/>
        <w:gridCol w:w="4075"/>
        <w:gridCol w:w="2414"/>
      </w:tblGrid>
      <w:tr w:rsidR="00D80E44" w14:paraId="12A11FAB" w14:textId="77777777">
        <w:trPr>
          <w:cantSplit/>
          <w:tblHeader/>
        </w:trPr>
        <w:tc>
          <w:tcPr>
            <w:tcW w:w="3291"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27BBA59D" w14:textId="77777777" w:rsidR="00D80E44" w:rsidRDefault="004530DE" w:rsidP="00236AE7">
            <w:pPr>
              <w:ind w:left="0"/>
            </w:pPr>
            <w:r>
              <w:rPr>
                <w:rFonts w:cs="Calibri"/>
                <w:b/>
                <w:color w:val="333333"/>
                <w:sz w:val="19"/>
              </w:rPr>
              <w:t>Freigabefrage</w:t>
            </w:r>
          </w:p>
        </w:tc>
        <w:tc>
          <w:tcPr>
            <w:tcW w:w="4075"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64CD49B4" w14:textId="77777777" w:rsidR="00D80E44" w:rsidRDefault="004530DE" w:rsidP="00236AE7">
            <w:pPr>
              <w:ind w:left="0"/>
            </w:pPr>
            <w:r>
              <w:rPr>
                <w:rFonts w:cs="Calibri"/>
                <w:b/>
                <w:color w:val="333333"/>
                <w:sz w:val="19"/>
              </w:rPr>
              <w:t>Mindestnachweis</w:t>
            </w:r>
          </w:p>
        </w:tc>
        <w:tc>
          <w:tcPr>
            <w:tcW w:w="2414"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32917E25" w14:textId="77777777" w:rsidR="00D80E44" w:rsidRDefault="004530DE" w:rsidP="00236AE7">
            <w:pPr>
              <w:ind w:left="0"/>
            </w:pPr>
            <w:r>
              <w:rPr>
                <w:rFonts w:cs="Calibri"/>
                <w:b/>
                <w:color w:val="333333"/>
                <w:sz w:val="19"/>
              </w:rPr>
              <w:t>Entscheidung</w:t>
            </w:r>
          </w:p>
        </w:tc>
      </w:tr>
      <w:tr w:rsidR="00D80E44" w14:paraId="77F03648" w14:textId="77777777">
        <w:trPr>
          <w:cantSplit/>
        </w:trPr>
        <w:tc>
          <w:tcPr>
            <w:tcW w:w="3291" w:type="dxa"/>
          </w:tcPr>
          <w:p w14:paraId="4A48AEE0" w14:textId="77777777" w:rsidR="00D80E44" w:rsidRDefault="004530DE" w:rsidP="00236AE7">
            <w:pPr>
              <w:spacing w:after="0" w:line="264" w:lineRule="auto"/>
              <w:ind w:left="0"/>
            </w:pPr>
            <w:r>
              <w:rPr>
                <w:rFonts w:cs="Calibri"/>
                <w:sz w:val="18"/>
              </w:rPr>
              <w:t>Sind Zweck, Zielgruppen und Systemgrenzen festgelegt?</w:t>
            </w:r>
          </w:p>
        </w:tc>
        <w:tc>
          <w:tcPr>
            <w:tcW w:w="4075" w:type="dxa"/>
          </w:tcPr>
          <w:p w14:paraId="6169935A" w14:textId="77777777" w:rsidR="00D80E44" w:rsidRDefault="004530DE" w:rsidP="00236AE7">
            <w:pPr>
              <w:spacing w:after="0" w:line="264" w:lineRule="auto"/>
              <w:ind w:left="0"/>
            </w:pPr>
            <w:r>
              <w:rPr>
                <w:rFonts w:cs="Calibri"/>
                <w:sz w:val="18"/>
              </w:rPr>
              <w:t>KI-Inventar, Scope und verantwortliche Rolle</w:t>
            </w:r>
          </w:p>
        </w:tc>
        <w:tc>
          <w:tcPr>
            <w:tcW w:w="2414" w:type="dxa"/>
          </w:tcPr>
          <w:p w14:paraId="2A46C494" w14:textId="77777777" w:rsidR="00D80E44" w:rsidRDefault="004530DE" w:rsidP="00236AE7">
            <w:pPr>
              <w:spacing w:after="0" w:line="264" w:lineRule="auto"/>
              <w:ind w:left="0"/>
            </w:pPr>
            <w:r>
              <w:rPr>
                <w:rFonts w:cs="Calibri"/>
                <w:sz w:val="18"/>
              </w:rPr>
              <w:t>Ohne Nachweis: Pilot nicht ausweiten</w:t>
            </w:r>
          </w:p>
        </w:tc>
      </w:tr>
      <w:tr w:rsidR="00D80E44" w14:paraId="13FB03F0" w14:textId="77777777">
        <w:trPr>
          <w:cantSplit/>
        </w:trPr>
        <w:tc>
          <w:tcPr>
            <w:tcW w:w="3291" w:type="dxa"/>
          </w:tcPr>
          <w:p w14:paraId="555F6429" w14:textId="77777777" w:rsidR="00D80E44" w:rsidRDefault="004530DE" w:rsidP="00236AE7">
            <w:pPr>
              <w:spacing w:after="0" w:line="264" w:lineRule="auto"/>
              <w:ind w:left="0"/>
            </w:pPr>
            <w:r>
              <w:rPr>
                <w:rFonts w:cs="Calibri"/>
                <w:sz w:val="18"/>
              </w:rPr>
              <w:t>Sind offensichtliche Oversharing-Risiken reduziert?</w:t>
            </w:r>
          </w:p>
        </w:tc>
        <w:tc>
          <w:tcPr>
            <w:tcW w:w="4075" w:type="dxa"/>
          </w:tcPr>
          <w:p w14:paraId="47926A69" w14:textId="77777777" w:rsidR="00D80E44" w:rsidRDefault="004530DE" w:rsidP="00236AE7">
            <w:pPr>
              <w:spacing w:after="0" w:line="264" w:lineRule="auto"/>
              <w:ind w:left="0"/>
            </w:pPr>
            <w:r>
              <w:rPr>
                <w:rFonts w:cs="Calibri"/>
                <w:sz w:val="18"/>
              </w:rPr>
              <w:t>Berechtigungsreview für SharePoint, OneDrive und Teams</w:t>
            </w:r>
          </w:p>
        </w:tc>
        <w:tc>
          <w:tcPr>
            <w:tcW w:w="2414" w:type="dxa"/>
          </w:tcPr>
          <w:p w14:paraId="57091F1A" w14:textId="77777777" w:rsidR="00D80E44" w:rsidRDefault="004530DE" w:rsidP="00236AE7">
            <w:pPr>
              <w:spacing w:after="0" w:line="264" w:lineRule="auto"/>
              <w:ind w:left="0"/>
            </w:pPr>
            <w:r>
              <w:rPr>
                <w:rFonts w:cs="Calibri"/>
                <w:sz w:val="18"/>
              </w:rPr>
              <w:t>Kritische Fundstellen vor Lizenzierung beheben</w:t>
            </w:r>
          </w:p>
        </w:tc>
      </w:tr>
      <w:tr w:rsidR="00D80E44" w14:paraId="459F0D90" w14:textId="77777777">
        <w:trPr>
          <w:cantSplit/>
        </w:trPr>
        <w:tc>
          <w:tcPr>
            <w:tcW w:w="3291" w:type="dxa"/>
          </w:tcPr>
          <w:p w14:paraId="1FD2B959" w14:textId="77777777" w:rsidR="00D80E44" w:rsidRDefault="004530DE" w:rsidP="00236AE7">
            <w:pPr>
              <w:spacing w:after="0" w:line="264" w:lineRule="auto"/>
              <w:ind w:left="0"/>
            </w:pPr>
            <w:r>
              <w:rPr>
                <w:rFonts w:cs="Calibri"/>
                <w:sz w:val="18"/>
              </w:rPr>
              <w:t>Sind Regeln für personenbezogene und vertrauliche Daten bekannt?</w:t>
            </w:r>
          </w:p>
        </w:tc>
        <w:tc>
          <w:tcPr>
            <w:tcW w:w="4075" w:type="dxa"/>
          </w:tcPr>
          <w:p w14:paraId="721D56C8" w14:textId="77777777" w:rsidR="00D80E44" w:rsidRDefault="004530DE" w:rsidP="00236AE7">
            <w:pPr>
              <w:spacing w:after="0" w:line="264" w:lineRule="auto"/>
              <w:ind w:left="0"/>
            </w:pPr>
            <w:r>
              <w:rPr>
                <w:rFonts w:cs="Calibri"/>
                <w:sz w:val="18"/>
              </w:rPr>
              <w:t>Nutzungsleitlinie und zielgruppengerechte Schulung</w:t>
            </w:r>
          </w:p>
        </w:tc>
        <w:tc>
          <w:tcPr>
            <w:tcW w:w="2414" w:type="dxa"/>
          </w:tcPr>
          <w:p w14:paraId="6A97337C" w14:textId="77777777" w:rsidR="00D80E44" w:rsidRDefault="004530DE" w:rsidP="00236AE7">
            <w:pPr>
              <w:spacing w:after="0" w:line="264" w:lineRule="auto"/>
              <w:ind w:left="0"/>
            </w:pPr>
            <w:r>
              <w:rPr>
                <w:rFonts w:cs="Calibri"/>
                <w:sz w:val="18"/>
              </w:rPr>
              <w:t>Ohne Befähigung: keine produktive Nutzung</w:t>
            </w:r>
          </w:p>
        </w:tc>
      </w:tr>
      <w:tr w:rsidR="00D80E44" w14:paraId="107351A2" w14:textId="77777777">
        <w:trPr>
          <w:cantSplit/>
        </w:trPr>
        <w:tc>
          <w:tcPr>
            <w:tcW w:w="3291" w:type="dxa"/>
          </w:tcPr>
          <w:p w14:paraId="01D82E46" w14:textId="77777777" w:rsidR="00D80E44" w:rsidRDefault="004530DE" w:rsidP="00236AE7">
            <w:pPr>
              <w:spacing w:after="0" w:line="264" w:lineRule="auto"/>
              <w:ind w:left="0"/>
            </w:pPr>
            <w:r>
              <w:rPr>
                <w:rFonts w:cs="Calibri"/>
                <w:sz w:val="18"/>
              </w:rPr>
              <w:t>Sind Veröffentlichungs- und HR-Anwendungsfälle abgesichert?</w:t>
            </w:r>
          </w:p>
        </w:tc>
        <w:tc>
          <w:tcPr>
            <w:tcW w:w="4075" w:type="dxa"/>
          </w:tcPr>
          <w:p w14:paraId="5D73E88D" w14:textId="77777777" w:rsidR="00D80E44" w:rsidRDefault="004530DE" w:rsidP="00236AE7">
            <w:pPr>
              <w:spacing w:after="0" w:line="264" w:lineRule="auto"/>
              <w:ind w:left="0"/>
            </w:pPr>
            <w:r>
              <w:rPr>
                <w:rFonts w:cs="Calibri"/>
                <w:sz w:val="18"/>
              </w:rPr>
              <w:t>Freigabeprozess und gesonderte Prüfung</w:t>
            </w:r>
          </w:p>
        </w:tc>
        <w:tc>
          <w:tcPr>
            <w:tcW w:w="2414" w:type="dxa"/>
          </w:tcPr>
          <w:p w14:paraId="42AD611C" w14:textId="77777777" w:rsidR="00D80E44" w:rsidRDefault="004530DE" w:rsidP="00236AE7">
            <w:pPr>
              <w:spacing w:after="0" w:line="264" w:lineRule="auto"/>
              <w:ind w:left="0"/>
            </w:pPr>
            <w:r>
              <w:rPr>
                <w:rFonts w:cs="Calibri"/>
                <w:sz w:val="18"/>
              </w:rPr>
              <w:t>Nur mit expliziter Freigabe zulassen</w:t>
            </w:r>
          </w:p>
        </w:tc>
      </w:tr>
    </w:tbl>
    <w:p w14:paraId="330F5AE4" w14:textId="77777777" w:rsidR="00D80E44" w:rsidRDefault="00D80E44">
      <w:pPr>
        <w:spacing w:after="0"/>
      </w:pPr>
    </w:p>
    <w:p w14:paraId="6F1EA8A7" w14:textId="562E4C29" w:rsidR="00D80E44" w:rsidRDefault="004530DE">
      <w:pPr>
        <w:pStyle w:val="berschrift1"/>
      </w:pPr>
      <w:bookmarkStart w:id="3" w:name="_Toc236813369"/>
      <w:r>
        <w:rPr>
          <w:rFonts w:cs="Calibri"/>
        </w:rPr>
        <w:lastRenderedPageBreak/>
        <w:t>Rechtlicher Handlungsrahmen</w:t>
      </w:r>
      <w:bookmarkEnd w:id="3"/>
    </w:p>
    <w:p w14:paraId="063907FB" w14:textId="77777777" w:rsidR="00D80E44" w:rsidRDefault="004530DE">
      <w:r>
        <w:rPr>
          <w:rFonts w:cs="Calibri"/>
        </w:rPr>
        <w:t>Der EU AI Act und die DSGVO gelten neben arbeitsrechtlichen, mitbestimmungsrechtlichen, urheberrechtlichen und branchenspezifischen Anforderungen. Dieses Kapitel ist als operative Einordnung konzipiert, nicht als abschließende Rechtsberatung.</w:t>
      </w:r>
    </w:p>
    <w:p w14:paraId="54F3DEA8" w14:textId="1B3FCAA8" w:rsidR="00D80E44" w:rsidRDefault="004530DE" w:rsidP="00D542F3">
      <w:pPr>
        <w:pStyle w:val="berschrift2"/>
      </w:pPr>
      <w:bookmarkStart w:id="4" w:name="_Toc236813370"/>
      <w:r>
        <w:t>Rolle des Unternehmens: in der Regel Deployer</w:t>
      </w:r>
      <w:bookmarkEnd w:id="4"/>
    </w:p>
    <w:p w14:paraId="2AB1AEE5" w14:textId="77777777" w:rsidR="00D80E44" w:rsidRDefault="004530DE">
      <w:r>
        <w:rPr>
          <w:rFonts w:cs="Calibri"/>
        </w:rPr>
        <w:t>Ein Unternehmen, das Microsoft 365 Copilot einsetzt, ist typischerweise Deployer eines KI-Systems. Copilot wird dadurch nicht automatisch als Hochrisiko-KI eingeordnet. Maßgeblich sind der konkrete Einsatzzweck, die Funktion und der Kontext. Ein bloßer Nutzer von Copilot ist normalerweise auch kein Anbieter eines General-Purpose-AI-Modells. Eine Provider-Folge nach Art. 25 ist nicht pauschal aus einem eigenen Agenten abzuleiten, sondern insbesondere bei einem hochriskanten System unter eigener Marke, einer wesentlichen Änderung oder einer Zweckänderung zu einem Hochrisiko-Einsatz zu prüfen.</w:t>
      </w:r>
    </w:p>
    <w:tbl>
      <w:tblPr>
        <w:tblW w:w="9780" w:type="dxa"/>
        <w:tblInd w:w="120" w:type="dxa"/>
        <w:tblLayout w:type="fixed"/>
        <w:tblLook w:val="04A0" w:firstRow="1" w:lastRow="0" w:firstColumn="1" w:lastColumn="0" w:noHBand="0" w:noVBand="1"/>
      </w:tblPr>
      <w:tblGrid>
        <w:gridCol w:w="9780"/>
      </w:tblGrid>
      <w:tr w:rsidR="00D80E44" w14:paraId="438D496E" w14:textId="77777777">
        <w:tc>
          <w:tcPr>
            <w:tcW w:w="9780" w:type="dxa"/>
            <w:tcBorders>
              <w:top w:val="single" w:sz="10" w:space="0" w:color="F7B51D"/>
              <w:left w:val="single" w:sz="10" w:space="0" w:color="F7B51D"/>
              <w:bottom w:val="single" w:sz="10" w:space="0" w:color="F7B51D"/>
              <w:right w:val="single" w:sz="10" w:space="0" w:color="F7B51D"/>
            </w:tcBorders>
            <w:shd w:val="clear" w:color="auto" w:fill="FFF8E6"/>
            <w:tcMar>
              <w:top w:w="80" w:type="dxa"/>
              <w:left w:w="120" w:type="dxa"/>
              <w:bottom w:w="80" w:type="dxa"/>
              <w:right w:w="120" w:type="dxa"/>
            </w:tcMar>
            <w:vAlign w:val="center"/>
          </w:tcPr>
          <w:p w14:paraId="7D8F5530" w14:textId="77777777" w:rsidR="00D80E44" w:rsidRDefault="004530DE">
            <w:pPr>
              <w:spacing w:after="60"/>
            </w:pPr>
            <w:r>
              <w:rPr>
                <w:rFonts w:cs="Calibri"/>
                <w:b/>
                <w:color w:val="333333"/>
                <w:sz w:val="21"/>
              </w:rPr>
              <w:t>Achtung bei eigenen Agents und Zweckänderungen</w:t>
            </w:r>
          </w:p>
          <w:p w14:paraId="7EC41602" w14:textId="77777777" w:rsidR="00D80E44" w:rsidRDefault="004530DE">
            <w:pPr>
              <w:spacing w:after="0"/>
            </w:pPr>
            <w:r>
              <w:rPr>
                <w:rFonts w:cs="Calibri"/>
                <w:sz w:val="21"/>
              </w:rPr>
              <w:t>Ein eigener, wesentlich veränderter oder umbenannter Agent kann eine neue Rollen- und Pflichtenprüfung auslösen. Bewerberauswahl, Mitarbeiterbewertung, Bildung, Kreditwürdigkeit, biometrische Kategorisierung oder Emotionserkennung sind nicht pauschal gleich zu behandeln: Sie können hochriskant, verboten oder unter besonderen Auflagen zulässig sein und erfordern eine gesonderte Einordnung.</w:t>
            </w:r>
          </w:p>
        </w:tc>
      </w:tr>
    </w:tbl>
    <w:p w14:paraId="1E46E0CC" w14:textId="77777777" w:rsidR="00D80E44" w:rsidRDefault="00D80E44">
      <w:pPr>
        <w:spacing w:after="0"/>
      </w:pPr>
    </w:p>
    <w:p w14:paraId="202AB1CD" w14:textId="56D3720E" w:rsidR="00D80E44" w:rsidRDefault="004530DE" w:rsidP="00D542F3">
      <w:pPr>
        <w:pStyle w:val="berschrift2"/>
      </w:pPr>
      <w:bookmarkStart w:id="5" w:name="_Toc236813371"/>
      <w:r>
        <w:t>Zeitplan: relevante Pflichten zum Dokumentstand</w:t>
      </w:r>
      <w:bookmarkEnd w:id="5"/>
    </w:p>
    <w:tbl>
      <w:tblPr>
        <w:tblW w:w="9780" w:type="dxa"/>
        <w:tblInd w:w="120" w:type="dxa"/>
        <w:tblLayout w:type="fixed"/>
        <w:tblLook w:val="04A0" w:firstRow="1" w:lastRow="0" w:firstColumn="1" w:lastColumn="0" w:noHBand="0" w:noVBand="1"/>
      </w:tblPr>
      <w:tblGrid>
        <w:gridCol w:w="2142"/>
        <w:gridCol w:w="7638"/>
      </w:tblGrid>
      <w:tr w:rsidR="00D80E44" w14:paraId="6498B894" w14:textId="77777777">
        <w:trPr>
          <w:cantSplit/>
          <w:tblHeader/>
        </w:trPr>
        <w:tc>
          <w:tcPr>
            <w:tcW w:w="2142"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20F3C816" w14:textId="77777777" w:rsidR="00D80E44" w:rsidRDefault="004530DE" w:rsidP="00236AE7">
            <w:pPr>
              <w:ind w:left="0"/>
            </w:pPr>
            <w:r>
              <w:rPr>
                <w:rFonts w:cs="Calibri"/>
                <w:b/>
                <w:color w:val="333333"/>
                <w:sz w:val="19"/>
              </w:rPr>
              <w:t>Zeitpunkt</w:t>
            </w:r>
          </w:p>
        </w:tc>
        <w:tc>
          <w:tcPr>
            <w:tcW w:w="7638"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434FB9D3" w14:textId="77777777" w:rsidR="00D80E44" w:rsidRDefault="004530DE" w:rsidP="00236AE7">
            <w:pPr>
              <w:ind w:left="0"/>
            </w:pPr>
            <w:r>
              <w:rPr>
                <w:rFonts w:cs="Calibri"/>
                <w:b/>
                <w:color w:val="333333"/>
                <w:sz w:val="19"/>
              </w:rPr>
              <w:t>Relevanz für Copilot-Einsatz</w:t>
            </w:r>
          </w:p>
        </w:tc>
      </w:tr>
      <w:tr w:rsidR="00D80E44" w14:paraId="63AB6D12" w14:textId="77777777">
        <w:trPr>
          <w:cantSplit/>
        </w:trPr>
        <w:tc>
          <w:tcPr>
            <w:tcW w:w="2142" w:type="dxa"/>
          </w:tcPr>
          <w:p w14:paraId="51EDF94E" w14:textId="77777777" w:rsidR="00D80E44" w:rsidRDefault="004530DE" w:rsidP="00236AE7">
            <w:pPr>
              <w:spacing w:after="0" w:line="264" w:lineRule="auto"/>
              <w:ind w:left="0"/>
            </w:pPr>
            <w:r>
              <w:rPr>
                <w:rFonts w:cs="Calibri"/>
                <w:sz w:val="18"/>
              </w:rPr>
              <w:t>2. Februar 2025</w:t>
            </w:r>
          </w:p>
        </w:tc>
        <w:tc>
          <w:tcPr>
            <w:tcW w:w="7638" w:type="dxa"/>
          </w:tcPr>
          <w:p w14:paraId="3182029F" w14:textId="77777777" w:rsidR="00D80E44" w:rsidRDefault="004530DE" w:rsidP="00236AE7">
            <w:pPr>
              <w:spacing w:after="0" w:line="264" w:lineRule="auto"/>
              <w:ind w:left="0"/>
            </w:pPr>
            <w:r>
              <w:rPr>
                <w:rFonts w:cs="Calibri"/>
                <w:sz w:val="18"/>
              </w:rPr>
              <w:t>Art. 4 KI-Kompetenz und die meisten Verbote des Art. 5 gelten. Einzelne, später eingefügte Art.-5-Verbote gelten erst ab 2. Dezember 2026.</w:t>
            </w:r>
          </w:p>
        </w:tc>
      </w:tr>
      <w:tr w:rsidR="00D80E44" w14:paraId="3E277069" w14:textId="77777777">
        <w:trPr>
          <w:cantSplit/>
        </w:trPr>
        <w:tc>
          <w:tcPr>
            <w:tcW w:w="2142" w:type="dxa"/>
          </w:tcPr>
          <w:p w14:paraId="4284272D" w14:textId="77777777" w:rsidR="00D80E44" w:rsidRDefault="004530DE" w:rsidP="00236AE7">
            <w:pPr>
              <w:spacing w:after="0" w:line="264" w:lineRule="auto"/>
              <w:ind w:left="0"/>
            </w:pPr>
            <w:r>
              <w:rPr>
                <w:rFonts w:cs="Calibri"/>
                <w:sz w:val="18"/>
              </w:rPr>
              <w:t>2. August 2025</w:t>
            </w:r>
          </w:p>
        </w:tc>
        <w:tc>
          <w:tcPr>
            <w:tcW w:w="7638" w:type="dxa"/>
          </w:tcPr>
          <w:p w14:paraId="62DFC8CE" w14:textId="77777777" w:rsidR="00D80E44" w:rsidRDefault="004530DE" w:rsidP="00236AE7">
            <w:pPr>
              <w:spacing w:after="0" w:line="264" w:lineRule="auto"/>
              <w:ind w:left="0"/>
            </w:pPr>
            <w:r>
              <w:rPr>
                <w:rFonts w:cs="Calibri"/>
                <w:sz w:val="18"/>
              </w:rPr>
              <w:t>GPAI-Modellpflichten und Teile der Governance gelten primär für Modellanbieter.</w:t>
            </w:r>
          </w:p>
        </w:tc>
      </w:tr>
      <w:tr w:rsidR="00D80E44" w14:paraId="4FAA118F" w14:textId="77777777">
        <w:trPr>
          <w:cantSplit/>
        </w:trPr>
        <w:tc>
          <w:tcPr>
            <w:tcW w:w="2142" w:type="dxa"/>
          </w:tcPr>
          <w:p w14:paraId="0A10435D" w14:textId="77777777" w:rsidR="00D80E44" w:rsidRDefault="004530DE" w:rsidP="00236AE7">
            <w:pPr>
              <w:spacing w:after="0" w:line="264" w:lineRule="auto"/>
              <w:ind w:left="0"/>
            </w:pPr>
            <w:r>
              <w:rPr>
                <w:rFonts w:cs="Calibri"/>
                <w:sz w:val="18"/>
              </w:rPr>
              <w:t>27. Juli 2026</w:t>
            </w:r>
          </w:p>
        </w:tc>
        <w:tc>
          <w:tcPr>
            <w:tcW w:w="7638" w:type="dxa"/>
          </w:tcPr>
          <w:p w14:paraId="2CF50ABF" w14:textId="77777777" w:rsidR="00D80E44" w:rsidRDefault="004530DE" w:rsidP="00236AE7">
            <w:pPr>
              <w:spacing w:after="0" w:line="264" w:lineRule="auto"/>
              <w:ind w:left="0"/>
            </w:pPr>
            <w:r>
              <w:rPr>
                <w:rFonts w:cs="Calibri"/>
                <w:sz w:val="18"/>
              </w:rPr>
              <w:t>Digital Omnibus (EU) 2026/1744 tritt in Kraft; der AI Act ist in konsolidierter Fassung zu prüfen, Art. 4 wird präzisiert.</w:t>
            </w:r>
          </w:p>
        </w:tc>
      </w:tr>
      <w:tr w:rsidR="00D80E44" w14:paraId="491EA993" w14:textId="77777777">
        <w:trPr>
          <w:cantSplit/>
        </w:trPr>
        <w:tc>
          <w:tcPr>
            <w:tcW w:w="2142" w:type="dxa"/>
          </w:tcPr>
          <w:p w14:paraId="4A70826D" w14:textId="77777777" w:rsidR="00D80E44" w:rsidRDefault="004530DE" w:rsidP="00236AE7">
            <w:pPr>
              <w:spacing w:after="0" w:line="264" w:lineRule="auto"/>
              <w:ind w:left="0"/>
            </w:pPr>
            <w:r>
              <w:rPr>
                <w:rFonts w:cs="Calibri"/>
                <w:sz w:val="18"/>
              </w:rPr>
              <w:t>2. August 2026</w:t>
            </w:r>
          </w:p>
        </w:tc>
        <w:tc>
          <w:tcPr>
            <w:tcW w:w="7638" w:type="dxa"/>
          </w:tcPr>
          <w:p w14:paraId="59486384" w14:textId="77777777" w:rsidR="00D80E44" w:rsidRDefault="004530DE" w:rsidP="00236AE7">
            <w:pPr>
              <w:spacing w:after="0" w:line="264" w:lineRule="auto"/>
              <w:ind w:left="0"/>
            </w:pPr>
            <w:r>
              <w:rPr>
                <w:rFonts w:cs="Calibri"/>
                <w:sz w:val="18"/>
              </w:rPr>
              <w:t>Allgemeine Anwendung; Transparenzpflichten nach Art. 50 gelten für die erfassten Fälle.</w:t>
            </w:r>
          </w:p>
        </w:tc>
      </w:tr>
      <w:tr w:rsidR="00D80E44" w14:paraId="013BFCFD" w14:textId="77777777">
        <w:trPr>
          <w:cantSplit/>
        </w:trPr>
        <w:tc>
          <w:tcPr>
            <w:tcW w:w="2142" w:type="dxa"/>
          </w:tcPr>
          <w:p w14:paraId="385C5873" w14:textId="77777777" w:rsidR="00D80E44" w:rsidRDefault="004530DE" w:rsidP="00236AE7">
            <w:pPr>
              <w:spacing w:after="0" w:line="264" w:lineRule="auto"/>
              <w:ind w:left="0"/>
            </w:pPr>
            <w:r>
              <w:rPr>
                <w:rFonts w:cs="Calibri"/>
                <w:sz w:val="18"/>
              </w:rPr>
              <w:t>2. Dezember 2026</w:t>
            </w:r>
          </w:p>
        </w:tc>
        <w:tc>
          <w:tcPr>
            <w:tcW w:w="7638" w:type="dxa"/>
          </w:tcPr>
          <w:p w14:paraId="49BA0AC5" w14:textId="77777777" w:rsidR="00D80E44" w:rsidRDefault="004530DE" w:rsidP="00236AE7">
            <w:pPr>
              <w:spacing w:after="0" w:line="264" w:lineRule="auto"/>
              <w:ind w:left="0"/>
            </w:pPr>
            <w:r>
              <w:rPr>
                <w:rFonts w:cs="Calibri"/>
                <w:sz w:val="18"/>
              </w:rPr>
              <w:t>Neue Verbote nach Art. 5(1)(ba)/(bb) und Art. 5(1a)/(1b). Nur für Provider endet außerdem die Übergangsfrist für die maschinenlesbare Markierung bestimmter bereits vermarkteter generativer Systeme; dies ist kein Deployer-Aufschub.</w:t>
            </w:r>
          </w:p>
        </w:tc>
      </w:tr>
      <w:tr w:rsidR="00D80E44" w14:paraId="03941236" w14:textId="77777777">
        <w:trPr>
          <w:cantSplit/>
        </w:trPr>
        <w:tc>
          <w:tcPr>
            <w:tcW w:w="2142" w:type="dxa"/>
          </w:tcPr>
          <w:p w14:paraId="75652C15" w14:textId="77777777" w:rsidR="00D80E44" w:rsidRDefault="004530DE" w:rsidP="00236AE7">
            <w:pPr>
              <w:spacing w:after="0" w:line="264" w:lineRule="auto"/>
              <w:ind w:left="0"/>
            </w:pPr>
            <w:r>
              <w:rPr>
                <w:rFonts w:cs="Calibri"/>
                <w:sz w:val="18"/>
              </w:rPr>
              <w:t>2. Dezember 2027</w:t>
            </w:r>
          </w:p>
        </w:tc>
        <w:tc>
          <w:tcPr>
            <w:tcW w:w="7638" w:type="dxa"/>
          </w:tcPr>
          <w:p w14:paraId="455907FB" w14:textId="77777777" w:rsidR="00D80E44" w:rsidRDefault="004530DE" w:rsidP="00236AE7">
            <w:pPr>
              <w:spacing w:after="0" w:line="264" w:lineRule="auto"/>
              <w:ind w:left="0"/>
            </w:pPr>
            <w:r>
              <w:rPr>
                <w:rFonts w:cs="Calibri"/>
                <w:sz w:val="18"/>
              </w:rPr>
              <w:t>Hochrisikoregeln für Systeme nach Art. 6(2) / Anhang III.</w:t>
            </w:r>
          </w:p>
        </w:tc>
      </w:tr>
      <w:tr w:rsidR="00D80E44" w14:paraId="44FBA184" w14:textId="77777777">
        <w:trPr>
          <w:cantSplit/>
        </w:trPr>
        <w:tc>
          <w:tcPr>
            <w:tcW w:w="2142" w:type="dxa"/>
          </w:tcPr>
          <w:p w14:paraId="628B55EA" w14:textId="77777777" w:rsidR="00D80E44" w:rsidRDefault="004530DE" w:rsidP="00236AE7">
            <w:pPr>
              <w:spacing w:after="0" w:line="264" w:lineRule="auto"/>
              <w:ind w:left="0"/>
            </w:pPr>
            <w:r>
              <w:rPr>
                <w:rFonts w:cs="Calibri"/>
                <w:sz w:val="18"/>
              </w:rPr>
              <w:t>2. August 2028</w:t>
            </w:r>
          </w:p>
        </w:tc>
        <w:tc>
          <w:tcPr>
            <w:tcW w:w="7638" w:type="dxa"/>
          </w:tcPr>
          <w:p w14:paraId="166BE9F9" w14:textId="77777777" w:rsidR="00D80E44" w:rsidRDefault="004530DE" w:rsidP="00236AE7">
            <w:pPr>
              <w:spacing w:after="0" w:line="264" w:lineRule="auto"/>
              <w:ind w:left="0"/>
            </w:pPr>
            <w:r>
              <w:rPr>
                <w:rFonts w:cs="Calibri"/>
                <w:sz w:val="18"/>
              </w:rPr>
              <w:t>Hochrisikoregeln für Systeme nach Art. 6(1) / Anhang I, insbesondere bestimmte regulierte Produkte oder Sicherheitskomponenten.</w:t>
            </w:r>
          </w:p>
        </w:tc>
      </w:tr>
    </w:tbl>
    <w:p w14:paraId="0470174E" w14:textId="77777777" w:rsidR="00D80E44" w:rsidRDefault="00D80E44">
      <w:pPr>
        <w:spacing w:after="0"/>
      </w:pPr>
    </w:p>
    <w:p w14:paraId="5B3AB059" w14:textId="27E87C3A" w:rsidR="00D80E44" w:rsidRDefault="004530DE" w:rsidP="00D542F3">
      <w:pPr>
        <w:pStyle w:val="berschrift2"/>
      </w:pPr>
      <w:bookmarkStart w:id="6" w:name="_Toc236813372"/>
      <w:r>
        <w:lastRenderedPageBreak/>
        <w:t>KI-Kompetenz nach Art. 4</w:t>
      </w:r>
      <w:bookmarkEnd w:id="6"/>
    </w:p>
    <w:p w14:paraId="758C3C31" w14:textId="77777777" w:rsidR="00D80E44" w:rsidRDefault="004530DE">
      <w:r>
        <w:rPr>
          <w:rFonts w:cs="Calibri"/>
        </w:rPr>
        <w:t>Provider und Deployer müssen Maßnahmen treffen, um die Entwicklung von KI-Kompetenz ihrer Beschäftigten und anderer Personen zu unterstützen, die das System in ihrem Auftrag bedienen oder nutzen. Das kann auch Auftragnehmende oder Service Provider im Organisationsbereich erfassen. Es gibt keinen vorgeschriebenen individuellen Mindestlevel, keine Zertifikatspflicht und keine Pflicht zu einem eigenständigen AI Officer. Sinnvoll sind jedoch ein risikoorientiertes Konzept, zielgruppengerechte Schulung beziehungsweise Guidance und interne Nachweise.</w:t>
      </w:r>
    </w:p>
    <w:p w14:paraId="1FEE194A" w14:textId="77777777" w:rsidR="00D80E44" w:rsidRDefault="004530DE">
      <w:pPr>
        <w:pStyle w:val="Listenabsatz"/>
        <w:ind w:left="720" w:hanging="360"/>
      </w:pPr>
      <w:r>
        <w:rPr>
          <w:rFonts w:cs="Calibri"/>
        </w:rPr>
        <w:t>Grundverständnis: Funktionsweise, Chancen, Grenzen, Halluzinationen und Prompt-Injection-Risiken.</w:t>
      </w:r>
    </w:p>
    <w:p w14:paraId="0C4CFE88" w14:textId="77777777" w:rsidR="00D80E44" w:rsidRDefault="004530DE">
      <w:pPr>
        <w:pStyle w:val="Listenabsatz"/>
        <w:ind w:left="720" w:hanging="360"/>
      </w:pPr>
      <w:r>
        <w:rPr>
          <w:rFonts w:cs="Calibri"/>
        </w:rPr>
        <w:t>Kontextwissen: Regeln für eigene Systeme, Datenklassen, Freigaben und eskalationspflichtige Fälle.</w:t>
      </w:r>
    </w:p>
    <w:p w14:paraId="00CD684C" w14:textId="77777777" w:rsidR="00D80E44" w:rsidRDefault="004530DE">
      <w:pPr>
        <w:pStyle w:val="Listenabsatz"/>
        <w:ind w:left="720" w:hanging="360"/>
      </w:pPr>
      <w:r>
        <w:rPr>
          <w:rFonts w:cs="Calibri"/>
        </w:rPr>
        <w:t>Rollenspezifische Vertiefung: Admins, Fachverantwortliche, Content-Veröffentlicher und HR erhalten zusätzliche Inhalte.</w:t>
      </w:r>
    </w:p>
    <w:p w14:paraId="6326EA9F" w14:textId="77777777" w:rsidR="00D80E44" w:rsidRDefault="004530DE">
      <w:pPr>
        <w:pStyle w:val="Listenabsatz"/>
        <w:ind w:left="720" w:hanging="360"/>
      </w:pPr>
      <w:r>
        <w:rPr>
          <w:rFonts w:cs="Calibri"/>
        </w:rPr>
        <w:t>Nachweis: Schulungs- und Guidance-Aufzeichnungen, Aktualisierung bei Änderungen und nachvollziehbare Verantwortlichkeit. Für Hochrisiko-Systeme ist zusätzlich die spezifische Kompetenz, Schulung und Befugnis der Personen für die menschliche Aufsicht nach Art. 26(2) zu berücksichtigen.</w:t>
      </w:r>
    </w:p>
    <w:p w14:paraId="6703CCBF" w14:textId="4120E13B" w:rsidR="00D80E44" w:rsidRDefault="004530DE" w:rsidP="00D542F3">
      <w:pPr>
        <w:pStyle w:val="berschrift2"/>
      </w:pPr>
      <w:bookmarkStart w:id="7" w:name="_Toc236813373"/>
      <w:r>
        <w:t>Verbote und Transparenz</w:t>
      </w:r>
      <w:bookmarkEnd w:id="7"/>
    </w:p>
    <w:p w14:paraId="17D2B1C7" w14:textId="77777777" w:rsidR="00D80E44" w:rsidRDefault="004530DE">
      <w:r>
        <w:rPr>
          <w:rFonts w:cs="Calibri"/>
        </w:rPr>
        <w:t>Für eine Copilot-Leitlinie besonders relevant sind die Verbote manipulativer oder schädigender Nutzung sowie Emotionserkennung am Arbeitsplatz oder in Bildungseinrichtungen, soweit nicht die eng gefasste medizinische oder sicherheitsbezogene Ausnahme greift. Art. 50 betrifft Deployer bei Deepfakes, bestimmten KI-generierten oder manipulierten Texten zur Information der Öffentlichkeit über Angelegenheiten von öffentlichem Interesse sowie bei Emotionserkennung oder biometrischer Kategorisierung. Für die Textausnahme sind substanzielle menschliche Prüfung oder redaktionelle Kontrolle und eine verantwortliche natürliche oder juristische Person erforderlich.</w:t>
      </w:r>
    </w:p>
    <w:tbl>
      <w:tblPr>
        <w:tblW w:w="9780" w:type="dxa"/>
        <w:tblInd w:w="120" w:type="dxa"/>
        <w:tblLayout w:type="fixed"/>
        <w:tblLook w:val="04A0" w:firstRow="1" w:lastRow="0" w:firstColumn="1" w:lastColumn="0" w:noHBand="0" w:noVBand="1"/>
      </w:tblPr>
      <w:tblGrid>
        <w:gridCol w:w="3135"/>
        <w:gridCol w:w="6645"/>
      </w:tblGrid>
      <w:tr w:rsidR="00D80E44" w14:paraId="7140D2FC" w14:textId="77777777">
        <w:trPr>
          <w:cantSplit/>
          <w:tblHeader/>
        </w:trPr>
        <w:tc>
          <w:tcPr>
            <w:tcW w:w="3135"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08FAD279" w14:textId="77777777" w:rsidR="00D80E44" w:rsidRDefault="004530DE" w:rsidP="00236AE7">
            <w:pPr>
              <w:ind w:left="0"/>
            </w:pPr>
            <w:r>
              <w:rPr>
                <w:rFonts w:cs="Calibri"/>
                <w:b/>
                <w:color w:val="333333"/>
                <w:sz w:val="19"/>
              </w:rPr>
              <w:t>Fall</w:t>
            </w:r>
          </w:p>
        </w:tc>
        <w:tc>
          <w:tcPr>
            <w:tcW w:w="6645"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196921C2" w14:textId="77777777" w:rsidR="00D80E44" w:rsidRDefault="004530DE" w:rsidP="00236AE7">
            <w:pPr>
              <w:ind w:left="0"/>
            </w:pPr>
            <w:r>
              <w:rPr>
                <w:rFonts w:cs="Calibri"/>
                <w:b/>
                <w:color w:val="333333"/>
                <w:sz w:val="19"/>
              </w:rPr>
              <w:t>Praktische Regel</w:t>
            </w:r>
          </w:p>
        </w:tc>
      </w:tr>
      <w:tr w:rsidR="00D80E44" w14:paraId="05A6B5C3" w14:textId="77777777">
        <w:trPr>
          <w:cantSplit/>
        </w:trPr>
        <w:tc>
          <w:tcPr>
            <w:tcW w:w="3135" w:type="dxa"/>
          </w:tcPr>
          <w:p w14:paraId="5EEB00A3" w14:textId="77777777" w:rsidR="00D80E44" w:rsidRDefault="004530DE" w:rsidP="00236AE7">
            <w:pPr>
              <w:spacing w:after="0" w:line="264" w:lineRule="auto"/>
              <w:ind w:left="0"/>
            </w:pPr>
            <w:r>
              <w:rPr>
                <w:rFonts w:cs="Calibri"/>
                <w:sz w:val="18"/>
              </w:rPr>
              <w:t>Interne Entwürfe, Mails oder Arbeitsergebnisse</w:t>
            </w:r>
          </w:p>
        </w:tc>
        <w:tc>
          <w:tcPr>
            <w:tcW w:w="6645" w:type="dxa"/>
          </w:tcPr>
          <w:p w14:paraId="7884470D" w14:textId="77777777" w:rsidR="00D80E44" w:rsidRDefault="004530DE" w:rsidP="00236AE7">
            <w:pPr>
              <w:spacing w:after="0" w:line="264" w:lineRule="auto"/>
              <w:ind w:left="0"/>
            </w:pPr>
            <w:r>
              <w:rPr>
                <w:rFonts w:cs="Calibri"/>
                <w:sz w:val="18"/>
              </w:rPr>
              <w:t>Keine automatische Kennzeichnungspflicht nach Art. 50; interne Leitlinie und Qualitätsprüfung bleiben erforderlich.</w:t>
            </w:r>
          </w:p>
        </w:tc>
      </w:tr>
      <w:tr w:rsidR="00D80E44" w14:paraId="5235C6E8" w14:textId="77777777">
        <w:trPr>
          <w:cantSplit/>
        </w:trPr>
        <w:tc>
          <w:tcPr>
            <w:tcW w:w="3135" w:type="dxa"/>
          </w:tcPr>
          <w:p w14:paraId="6797AD04" w14:textId="77777777" w:rsidR="00D80E44" w:rsidRDefault="004530DE" w:rsidP="00236AE7">
            <w:pPr>
              <w:spacing w:after="0" w:line="264" w:lineRule="auto"/>
              <w:ind w:left="0"/>
            </w:pPr>
            <w:r>
              <w:rPr>
                <w:rFonts w:cs="Calibri"/>
                <w:sz w:val="18"/>
              </w:rPr>
              <w:t>Öffentliches Informationsmaterial</w:t>
            </w:r>
          </w:p>
        </w:tc>
        <w:tc>
          <w:tcPr>
            <w:tcW w:w="6645" w:type="dxa"/>
          </w:tcPr>
          <w:p w14:paraId="40D54E9D" w14:textId="77777777" w:rsidR="00D80E44" w:rsidRDefault="004530DE" w:rsidP="00236AE7">
            <w:pPr>
              <w:spacing w:after="0" w:line="264" w:lineRule="auto"/>
              <w:ind w:left="0"/>
            </w:pPr>
            <w:r>
              <w:rPr>
                <w:rFonts w:cs="Calibri"/>
                <w:sz w:val="18"/>
              </w:rPr>
              <w:t>Nur bei Veröffentlichung zur Information der Öffentlichkeit über Angelegenheiten von öffentlichem Interesse die Art.-50-Prüfung auslösen. Entweder nachvollziehbare menschliche Prüfung oder redaktionelle Kontrolle mit redaktioneller Verantwortung dokumentieren; andernfalls Kennzeichnungspflicht prüfen.</w:t>
            </w:r>
          </w:p>
        </w:tc>
      </w:tr>
      <w:tr w:rsidR="00D80E44" w14:paraId="6483D971" w14:textId="77777777">
        <w:trPr>
          <w:cantSplit/>
        </w:trPr>
        <w:tc>
          <w:tcPr>
            <w:tcW w:w="3135" w:type="dxa"/>
          </w:tcPr>
          <w:p w14:paraId="741CA55E" w14:textId="77777777" w:rsidR="00D80E44" w:rsidRDefault="004530DE" w:rsidP="00236AE7">
            <w:pPr>
              <w:spacing w:after="0" w:line="264" w:lineRule="auto"/>
              <w:ind w:left="0"/>
            </w:pPr>
            <w:r>
              <w:rPr>
                <w:rFonts w:cs="Calibri"/>
                <w:sz w:val="18"/>
              </w:rPr>
              <w:t>Deepfake-Bild, -Audio oder -Video</w:t>
            </w:r>
          </w:p>
        </w:tc>
        <w:tc>
          <w:tcPr>
            <w:tcW w:w="6645" w:type="dxa"/>
          </w:tcPr>
          <w:p w14:paraId="0A01075B" w14:textId="77777777" w:rsidR="00D80E44" w:rsidRDefault="004530DE" w:rsidP="00236AE7">
            <w:pPr>
              <w:spacing w:after="0" w:line="264" w:lineRule="auto"/>
              <w:ind w:left="0"/>
            </w:pPr>
            <w:r>
              <w:rPr>
                <w:rFonts w:cs="Calibri"/>
                <w:sz w:val="18"/>
              </w:rPr>
              <w:t>Vor Veröffentlichung von Bild-, Audio- oder Videoinhalten, die die gesetzlichen Merkmale eines Deepfakes erfüllen, rechtliche Freigabe, Rechteprüfung und deutliche Offenlegung spätestens bei erster Exposition vorsehen. Eine technische Provider-Markierung genügt nicht als Deployer-Nachweis.</w:t>
            </w:r>
          </w:p>
        </w:tc>
      </w:tr>
      <w:tr w:rsidR="00D80E44" w14:paraId="40ACD561" w14:textId="77777777">
        <w:trPr>
          <w:cantSplit/>
        </w:trPr>
        <w:tc>
          <w:tcPr>
            <w:tcW w:w="3135" w:type="dxa"/>
          </w:tcPr>
          <w:p w14:paraId="3139A469" w14:textId="77777777" w:rsidR="00D80E44" w:rsidRDefault="004530DE" w:rsidP="00236AE7">
            <w:pPr>
              <w:spacing w:after="0" w:line="264" w:lineRule="auto"/>
              <w:ind w:left="0"/>
            </w:pPr>
            <w:r>
              <w:rPr>
                <w:rFonts w:cs="Calibri"/>
                <w:sz w:val="18"/>
              </w:rPr>
              <w:t>Emotionserkennung / biometrische Kategorisierung</w:t>
            </w:r>
          </w:p>
        </w:tc>
        <w:tc>
          <w:tcPr>
            <w:tcW w:w="6645" w:type="dxa"/>
          </w:tcPr>
          <w:p w14:paraId="0B651A41" w14:textId="77777777" w:rsidR="00D80E44" w:rsidRDefault="004530DE" w:rsidP="00236AE7">
            <w:pPr>
              <w:spacing w:after="0" w:line="264" w:lineRule="auto"/>
              <w:ind w:left="0"/>
            </w:pPr>
            <w:r>
              <w:rPr>
                <w:rFonts w:cs="Calibri"/>
                <w:sz w:val="18"/>
              </w:rPr>
              <w:t>Zuerst Verbots- und Zweckprüfung. Soweit der Einsatz zulässig ist, betroffene Personen vorab informieren und die Freigabe dokumentieren.</w:t>
            </w:r>
          </w:p>
        </w:tc>
      </w:tr>
      <w:tr w:rsidR="00D80E44" w14:paraId="0F5F4DF2" w14:textId="77777777">
        <w:trPr>
          <w:cantSplit/>
        </w:trPr>
        <w:tc>
          <w:tcPr>
            <w:tcW w:w="3135" w:type="dxa"/>
          </w:tcPr>
          <w:p w14:paraId="4182B2B2" w14:textId="77777777" w:rsidR="00D80E44" w:rsidRDefault="004530DE" w:rsidP="00236AE7">
            <w:pPr>
              <w:spacing w:after="0" w:line="264" w:lineRule="auto"/>
              <w:ind w:left="0"/>
            </w:pPr>
            <w:r>
              <w:rPr>
                <w:rFonts w:cs="Calibri"/>
                <w:sz w:val="18"/>
              </w:rPr>
              <w:t>HR- oder Leistungsbewertung</w:t>
            </w:r>
          </w:p>
        </w:tc>
        <w:tc>
          <w:tcPr>
            <w:tcW w:w="6645" w:type="dxa"/>
          </w:tcPr>
          <w:p w14:paraId="4E0E22F1" w14:textId="77777777" w:rsidR="00D80E44" w:rsidRDefault="004530DE" w:rsidP="00236AE7">
            <w:pPr>
              <w:spacing w:after="0" w:line="264" w:lineRule="auto"/>
              <w:ind w:left="0"/>
            </w:pPr>
            <w:r>
              <w:rPr>
                <w:rFonts w:cs="Calibri"/>
                <w:sz w:val="18"/>
              </w:rPr>
              <w:t>Nicht über allgemeine Copilot-Nutzung abdecken. Fälle sind nicht pauschal verboten, erfordern aber separate Risikoeinordnung, Mitbestimmung und gegebenenfalls Hochrisiko-Prüfung.</w:t>
            </w:r>
          </w:p>
        </w:tc>
      </w:tr>
    </w:tbl>
    <w:p w14:paraId="563E00F3" w14:textId="77777777" w:rsidR="00D80E44" w:rsidRDefault="00D80E44">
      <w:pPr>
        <w:spacing w:after="0"/>
      </w:pPr>
    </w:p>
    <w:p w14:paraId="23B7416C" w14:textId="06093AC7" w:rsidR="00D80E44" w:rsidRDefault="004530DE">
      <w:pPr>
        <w:pStyle w:val="berschrift1"/>
      </w:pPr>
      <w:bookmarkStart w:id="8" w:name="_Toc236813374"/>
      <w:r>
        <w:rPr>
          <w:rFonts w:cs="Calibri"/>
        </w:rPr>
        <w:t>Microsoft 365 Copilot: Daten, Berechtigungen und Grenzen</w:t>
      </w:r>
      <w:bookmarkEnd w:id="8"/>
    </w:p>
    <w:p w14:paraId="4855893A" w14:textId="77777777" w:rsidR="00D80E44" w:rsidRDefault="004530DE">
      <w:r>
        <w:t>Microsoft 365 Copilot referenziert Inhalte grundsätzlich im bestehenden Identitäts- und Berechtigungskontext des anfragenden Nutzers. Es erweitert dadurch keine Berechtigungen, kann aber vorhandene, zu breit vergebene Zugriffe sichtbar und leichter nutzbar machen. Diese Aussage ist nicht pauschal auf eigene Agents, Connectoren oder externe Aktionen übertragbar: Dort sind Identität, Scopes, Datenflüsse und Berechtigungen eigenständig zu prüfen. Das Bereinigungsziel lautet daher: Nur wer Informationen wirklich benötigt, soll sie finden und verarbeiten können. Die konkrete Prüftiefe und die Testschritte folgen in Abschnitt 6.</w:t>
      </w:r>
    </w:p>
    <w:p w14:paraId="147E4A5E" w14:textId="4C6C0891" w:rsidR="00D80E44" w:rsidRDefault="004530DE" w:rsidP="00D542F3">
      <w:pPr>
        <w:pStyle w:val="berschrift2"/>
      </w:pPr>
      <w:bookmarkStart w:id="9" w:name="_Toc236813375"/>
      <w:r>
        <w:t>Daten- und Schutzmodell</w:t>
      </w:r>
      <w:bookmarkEnd w:id="9"/>
    </w:p>
    <w:tbl>
      <w:tblPr>
        <w:tblW w:w="9780" w:type="dxa"/>
        <w:tblInd w:w="120" w:type="dxa"/>
        <w:tblLayout w:type="fixed"/>
        <w:tblLook w:val="04A0" w:firstRow="1" w:lastRow="0" w:firstColumn="1" w:lastColumn="0" w:noHBand="0" w:noVBand="1"/>
      </w:tblPr>
      <w:tblGrid>
        <w:gridCol w:w="2508"/>
        <w:gridCol w:w="7272"/>
      </w:tblGrid>
      <w:tr w:rsidR="00D80E44" w14:paraId="400EA426" w14:textId="77777777">
        <w:trPr>
          <w:cantSplit/>
          <w:tblHeader/>
        </w:trPr>
        <w:tc>
          <w:tcPr>
            <w:tcW w:w="2508"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4BF7B8E3" w14:textId="77777777" w:rsidR="00D80E44" w:rsidRDefault="004530DE" w:rsidP="00236AE7">
            <w:pPr>
              <w:ind w:left="0"/>
            </w:pPr>
            <w:r>
              <w:rPr>
                <w:rFonts w:cs="Calibri"/>
                <w:b/>
                <w:color w:val="333333"/>
                <w:sz w:val="19"/>
              </w:rPr>
              <w:t>Thema</w:t>
            </w:r>
          </w:p>
        </w:tc>
        <w:tc>
          <w:tcPr>
            <w:tcW w:w="7272"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797CB3E7" w14:textId="77777777" w:rsidR="00D80E44" w:rsidRDefault="004530DE" w:rsidP="00236AE7">
            <w:pPr>
              <w:ind w:left="0"/>
            </w:pPr>
            <w:r>
              <w:rPr>
                <w:rFonts w:cs="Calibri"/>
                <w:b/>
                <w:color w:val="333333"/>
                <w:sz w:val="19"/>
              </w:rPr>
              <w:t>Einordnung für den Rollout</w:t>
            </w:r>
          </w:p>
        </w:tc>
      </w:tr>
      <w:tr w:rsidR="00D80E44" w14:paraId="45B06E5A" w14:textId="77777777">
        <w:trPr>
          <w:cantSplit/>
        </w:trPr>
        <w:tc>
          <w:tcPr>
            <w:tcW w:w="2508" w:type="dxa"/>
          </w:tcPr>
          <w:p w14:paraId="0CBC09C5" w14:textId="77777777" w:rsidR="00D80E44" w:rsidRDefault="004530DE" w:rsidP="00236AE7">
            <w:pPr>
              <w:spacing w:after="0" w:line="264" w:lineRule="auto"/>
              <w:ind w:left="0"/>
            </w:pPr>
            <w:r>
              <w:rPr>
                <w:rFonts w:cs="Calibri"/>
                <w:sz w:val="18"/>
              </w:rPr>
              <w:t>Berechtigungen</w:t>
            </w:r>
          </w:p>
        </w:tc>
        <w:tc>
          <w:tcPr>
            <w:tcW w:w="7272" w:type="dxa"/>
          </w:tcPr>
          <w:p w14:paraId="24CF7461" w14:textId="77777777" w:rsidR="00D80E44" w:rsidRDefault="004530DE" w:rsidP="00236AE7">
            <w:pPr>
              <w:spacing w:after="0" w:line="264" w:lineRule="auto"/>
              <w:ind w:left="0"/>
            </w:pPr>
            <w:r>
              <w:rPr>
                <w:rFonts w:cs="Calibri"/>
                <w:sz w:val="18"/>
              </w:rPr>
              <w:t>Copilot greift im Rahmen der bestehenden Berechtigungen des Nutzers zu. Bei verschlüsselten Inhalten sind insbesondere VIEW- und EXTRACT-Nutzungsrechte relevant. SharePoint-, OneDrive-, Teams- und Gruppenberechtigungen sind daher vorab zu prüfen.</w:t>
            </w:r>
          </w:p>
        </w:tc>
      </w:tr>
      <w:tr w:rsidR="00D80E44" w14:paraId="21441C14" w14:textId="77777777">
        <w:trPr>
          <w:cantSplit/>
        </w:trPr>
        <w:tc>
          <w:tcPr>
            <w:tcW w:w="2508" w:type="dxa"/>
          </w:tcPr>
          <w:p w14:paraId="1C86469E" w14:textId="77777777" w:rsidR="00D80E44" w:rsidRDefault="004530DE" w:rsidP="00236AE7">
            <w:pPr>
              <w:spacing w:after="0" w:line="264" w:lineRule="auto"/>
              <w:ind w:left="0"/>
            </w:pPr>
            <w:r>
              <w:rPr>
                <w:rFonts w:cs="Calibri"/>
                <w:sz w:val="18"/>
              </w:rPr>
              <w:t>Prompts und Antworten</w:t>
            </w:r>
          </w:p>
        </w:tc>
        <w:tc>
          <w:tcPr>
            <w:tcW w:w="7272" w:type="dxa"/>
          </w:tcPr>
          <w:p w14:paraId="664FDFA8" w14:textId="77777777" w:rsidR="00D80E44" w:rsidRDefault="004530DE" w:rsidP="00236AE7">
            <w:pPr>
              <w:spacing w:after="0" w:line="264" w:lineRule="auto"/>
              <w:ind w:left="0"/>
            </w:pPr>
            <w:r>
              <w:rPr>
                <w:rFonts w:cs="Calibri"/>
                <w:sz w:val="18"/>
              </w:rPr>
              <w:t>Für Microsoft 365 Copilot und Microsoft 365 Copilot Chat gelten im Organisationskontext die Enterprise-Data-Protection-Zusagen nach Microsoft Product Terms und DPA. Prompts, Antworten und für das Grounding verwendete Microsoft-Graph-Daten werden nach Microsoft-Angaben nicht zum Training der Foundation Models verwendet. Kontrollumfang, Lizenz und Produktkonfiguration prüfen.</w:t>
            </w:r>
          </w:p>
        </w:tc>
      </w:tr>
      <w:tr w:rsidR="00D80E44" w14:paraId="5C74C63A" w14:textId="77777777">
        <w:trPr>
          <w:cantSplit/>
        </w:trPr>
        <w:tc>
          <w:tcPr>
            <w:tcW w:w="2508" w:type="dxa"/>
          </w:tcPr>
          <w:p w14:paraId="4CF60242" w14:textId="77777777" w:rsidR="00D80E44" w:rsidRDefault="004530DE" w:rsidP="00236AE7">
            <w:pPr>
              <w:spacing w:after="0" w:line="264" w:lineRule="auto"/>
              <w:ind w:left="0"/>
            </w:pPr>
            <w:r>
              <w:rPr>
                <w:rFonts w:cs="Calibri"/>
                <w:sz w:val="18"/>
              </w:rPr>
              <w:t>Informationsschutz</w:t>
            </w:r>
          </w:p>
        </w:tc>
        <w:tc>
          <w:tcPr>
            <w:tcW w:w="7272" w:type="dxa"/>
          </w:tcPr>
          <w:p w14:paraId="14C17366" w14:textId="77777777" w:rsidR="00D80E44" w:rsidRDefault="004530DE" w:rsidP="00236AE7">
            <w:pPr>
              <w:spacing w:after="0" w:line="264" w:lineRule="auto"/>
              <w:ind w:left="0"/>
            </w:pPr>
            <w:r>
              <w:rPr>
                <w:rFonts w:cs="Calibri"/>
                <w:sz w:val="18"/>
              </w:rPr>
              <w:t>Sensitivity Labels und Verschlüsselung können Copilot-Inhalte schützen. Label-Vererbung bei neu erzeugten Inhalten erfolgt nur in unterstützten Szenarien; DLP, Retention und Audit sind mit repräsentativen Fällen zu testen und nachweisbar zu machen.</w:t>
            </w:r>
          </w:p>
        </w:tc>
      </w:tr>
      <w:tr w:rsidR="00D80E44" w14:paraId="5D0A948E" w14:textId="77777777">
        <w:trPr>
          <w:cantSplit/>
        </w:trPr>
        <w:tc>
          <w:tcPr>
            <w:tcW w:w="2508" w:type="dxa"/>
          </w:tcPr>
          <w:p w14:paraId="06E5856D" w14:textId="77777777" w:rsidR="00D80E44" w:rsidRDefault="004530DE" w:rsidP="00236AE7">
            <w:pPr>
              <w:spacing w:after="0" w:line="264" w:lineRule="auto"/>
              <w:ind w:left="0"/>
            </w:pPr>
            <w:r>
              <w:rPr>
                <w:rFonts w:cs="Calibri"/>
                <w:sz w:val="18"/>
              </w:rPr>
              <w:t>Web Grounding</w:t>
            </w:r>
          </w:p>
        </w:tc>
        <w:tc>
          <w:tcPr>
            <w:tcW w:w="7272" w:type="dxa"/>
          </w:tcPr>
          <w:p w14:paraId="2E3C5EB8" w14:textId="77777777" w:rsidR="00D80E44" w:rsidRDefault="004530DE" w:rsidP="00236AE7">
            <w:pPr>
              <w:spacing w:after="0" w:line="264" w:lineRule="auto"/>
              <w:ind w:left="0"/>
            </w:pPr>
            <w:r>
              <w:rPr>
                <w:rFonts w:cs="Calibri"/>
                <w:sz w:val="18"/>
              </w:rPr>
              <w:t>Erfordert eine bewusste Konfiguration. Webanfragen werden über Bing verarbeitet und sind getrennt von Microsoft-Graph-Daten zu bewerten; Bing handelt hierfür als eigenständiger Verantwortlicher. Die Webanfragen fallen nicht unter DPA oder EU Data Boundary. Zulässigkeit, DLP-Schutz, Owner und Begründung dokumentieren; Webinhalte sind nicht automatisch richtig, vollständig oder freigegeben.</w:t>
            </w:r>
          </w:p>
        </w:tc>
      </w:tr>
      <w:tr w:rsidR="00D80E44" w14:paraId="56ABA63C" w14:textId="77777777">
        <w:trPr>
          <w:cantSplit/>
        </w:trPr>
        <w:tc>
          <w:tcPr>
            <w:tcW w:w="2508" w:type="dxa"/>
          </w:tcPr>
          <w:p w14:paraId="79F1F202" w14:textId="77777777" w:rsidR="00D80E44" w:rsidRPr="00D542F3" w:rsidRDefault="004530DE" w:rsidP="00236AE7">
            <w:pPr>
              <w:spacing w:after="0" w:line="264" w:lineRule="auto"/>
              <w:ind w:left="0"/>
              <w:rPr>
                <w:lang w:val="en-US"/>
              </w:rPr>
            </w:pPr>
            <w:r w:rsidRPr="00D542F3">
              <w:rPr>
                <w:rFonts w:cs="Calibri"/>
                <w:sz w:val="18"/>
                <w:lang w:val="en-US"/>
              </w:rPr>
              <w:t>Copilot Chat, Agents und Connectoren</w:t>
            </w:r>
          </w:p>
        </w:tc>
        <w:tc>
          <w:tcPr>
            <w:tcW w:w="7272" w:type="dxa"/>
          </w:tcPr>
          <w:p w14:paraId="51DE428B" w14:textId="77777777" w:rsidR="00D80E44" w:rsidRDefault="004530DE" w:rsidP="00236AE7">
            <w:pPr>
              <w:spacing w:after="0" w:line="264" w:lineRule="auto"/>
              <w:ind w:left="0"/>
            </w:pPr>
            <w:r>
              <w:rPr>
                <w:rFonts w:cs="Calibri"/>
                <w:sz w:val="18"/>
              </w:rPr>
              <w:t>Je nach Lizenz, Agent und Datenquelle gelten unterschiedliche Datenflüsse. Jede zusätzliche Verbindung braucht eine eigene Freigabe- und Risikoprüfung. Bei Connectoren ist insbesondere der Berechtigungsmodus zu dokumentieren; bei Agents sind Typ, Owner, Scopes, Aktionen und Abschaltweg zu prüfen.</w:t>
            </w:r>
          </w:p>
        </w:tc>
      </w:tr>
    </w:tbl>
    <w:p w14:paraId="1215408A" w14:textId="77777777" w:rsidR="00D80E44" w:rsidRDefault="00D80E44">
      <w:pPr>
        <w:spacing w:after="0"/>
      </w:pPr>
    </w:p>
    <w:p w14:paraId="5459A175" w14:textId="40E2407C" w:rsidR="00D80E44" w:rsidRDefault="004530DE" w:rsidP="00D542F3">
      <w:pPr>
        <w:pStyle w:val="berschrift2"/>
      </w:pPr>
      <w:bookmarkStart w:id="10" w:name="_Toc236813376"/>
      <w:r>
        <w:t>Technische Mindestbasis – Überblick</w:t>
      </w:r>
      <w:bookmarkEnd w:id="10"/>
    </w:p>
    <w:p w14:paraId="0D93EF9B" w14:textId="77777777" w:rsidR="00D80E44" w:rsidRDefault="004530DE">
      <w:pPr>
        <w:pStyle w:val="Listenabsatz"/>
        <w:ind w:left="720" w:hanging="360"/>
      </w:pPr>
      <w:r>
        <w:rPr>
          <w:rFonts w:cs="Calibri"/>
        </w:rPr>
        <w:t>Berechtigungsbereinigung mit Fokus auf breite SharePoint- und OneDrive-Freigaben, alte Teams, Gastzugriffe und anonyme Links.</w:t>
      </w:r>
    </w:p>
    <w:p w14:paraId="7F5BC893" w14:textId="77777777" w:rsidR="00D80E44" w:rsidRDefault="004530DE">
      <w:pPr>
        <w:pStyle w:val="Listenabsatz"/>
        <w:ind w:left="720" w:hanging="360"/>
      </w:pPr>
      <w:r>
        <w:rPr>
          <w:rFonts w:cs="Calibri"/>
        </w:rPr>
        <w:t>Informationsklassifizierung mit verständlichen Sensitivity Labels; Verschlüsselung und Zugriffsbeschränkungen für vertrauliche Inhalte nach Schutzbedarf.</w:t>
      </w:r>
    </w:p>
    <w:p w14:paraId="7F2AA33D" w14:textId="77777777" w:rsidR="00D80E44" w:rsidRDefault="004530DE">
      <w:pPr>
        <w:pStyle w:val="Listenabsatz"/>
        <w:ind w:left="720" w:hanging="360"/>
      </w:pPr>
      <w:r>
        <w:rPr>
          <w:rFonts w:cs="Calibri"/>
        </w:rPr>
        <w:lastRenderedPageBreak/>
        <w:t>DLP-Richtlinien für sensible Informationen zuerst kontrolliert testen und den Enforce-Status anschließend dokumentieren. Ein Simulationsmodus allein ist kein Wirksamkeitsnachweis; Prompt-, Dateiszenario- und Websuchetests festhalten.</w:t>
      </w:r>
    </w:p>
    <w:p w14:paraId="21C55479" w14:textId="77777777" w:rsidR="00D80E44" w:rsidRDefault="004530DE">
      <w:pPr>
        <w:pStyle w:val="Listenabsatz"/>
        <w:ind w:left="720" w:hanging="360"/>
      </w:pPr>
      <w:r>
        <w:rPr>
          <w:rFonts w:cs="Calibri"/>
        </w:rPr>
        <w:t>MFA, Conditional Access und Schutz administrativer Konten als Sicherheitsbaseline für den produktiven Zugang. Sie sind keine isolierte Copilot-Lizenzvoraussetzung, aber eine starke Zero-Trust-Maßnahme.</w:t>
      </w:r>
    </w:p>
    <w:p w14:paraId="2A465C6E" w14:textId="77777777" w:rsidR="00D80E44" w:rsidRDefault="004530DE">
      <w:pPr>
        <w:pStyle w:val="Listenabsatz"/>
        <w:ind w:left="720" w:hanging="360"/>
      </w:pPr>
      <w:r>
        <w:rPr>
          <w:rFonts w:cs="Calibri"/>
        </w:rPr>
        <w:t>Microsoft Purview Audit, Retention und eDiscovery-Fähigkeit passend zu Rechts- und Aufbewahrungsanforderungen konfigurieren. Nachweisen: Auditstatus, berechtigte Rollen, Suchtest, Aufbewahrungsentscheidung und relevante Speicherorte.</w:t>
      </w:r>
    </w:p>
    <w:p w14:paraId="6854C3D2" w14:textId="77777777" w:rsidR="00D80E44" w:rsidRDefault="004530DE">
      <w:pPr>
        <w:pStyle w:val="Listenabsatz"/>
        <w:ind w:left="720" w:hanging="360"/>
      </w:pPr>
      <w:r>
        <w:rPr>
          <w:rFonts w:cs="Calibri"/>
        </w:rPr>
        <w:t>Freigabeliste für Agents, Connectoren, Plug-ins und externe Datenquellen. Keine Selbstbedienung für neue, organisationsweit wirksame Integrationen. Für Connectoren Quell-ACLs beziehungsweise „Visible to everyone“-Sichtbarkeit explizit dokumentieren.</w:t>
      </w:r>
    </w:p>
    <w:tbl>
      <w:tblPr>
        <w:tblW w:w="9780" w:type="dxa"/>
        <w:tblInd w:w="120" w:type="dxa"/>
        <w:tblLayout w:type="fixed"/>
        <w:tblLook w:val="04A0" w:firstRow="1" w:lastRow="0" w:firstColumn="1" w:lastColumn="0" w:noHBand="0" w:noVBand="1"/>
      </w:tblPr>
      <w:tblGrid>
        <w:gridCol w:w="9780"/>
      </w:tblGrid>
      <w:tr w:rsidR="00D80E44" w14:paraId="4840A214" w14:textId="77777777">
        <w:tc>
          <w:tcPr>
            <w:tcW w:w="9780" w:type="dxa"/>
            <w:tcBorders>
              <w:top w:val="single" w:sz="10" w:space="0" w:color="F25022"/>
              <w:left w:val="single" w:sz="10" w:space="0" w:color="F25022"/>
              <w:bottom w:val="single" w:sz="10" w:space="0" w:color="F25022"/>
              <w:right w:val="single" w:sz="10" w:space="0" w:color="F25022"/>
            </w:tcBorders>
            <w:shd w:val="clear" w:color="auto" w:fill="FFF0E9"/>
            <w:tcMar>
              <w:top w:w="80" w:type="dxa"/>
              <w:left w:w="120" w:type="dxa"/>
              <w:bottom w:w="80" w:type="dxa"/>
              <w:right w:w="120" w:type="dxa"/>
            </w:tcMar>
            <w:vAlign w:val="center"/>
          </w:tcPr>
          <w:p w14:paraId="16E943A8" w14:textId="77777777" w:rsidR="00D80E44" w:rsidRDefault="004530DE">
            <w:pPr>
              <w:spacing w:after="60"/>
            </w:pPr>
            <w:r>
              <w:rPr>
                <w:rFonts w:cs="Calibri"/>
                <w:b/>
                <w:color w:val="333333"/>
                <w:sz w:val="21"/>
              </w:rPr>
              <w:t>Merksatz für Führungskräfte</w:t>
            </w:r>
          </w:p>
          <w:p w14:paraId="0DD53AE2" w14:textId="77777777" w:rsidR="00D80E44" w:rsidRDefault="004530DE">
            <w:pPr>
              <w:spacing w:after="0"/>
            </w:pPr>
            <w:r>
              <w:rPr>
                <w:rFonts w:cs="Calibri"/>
                <w:sz w:val="21"/>
              </w:rPr>
              <w:t>Copilot schafft im Berechtigungskontext des anfragenden Nutzers keine neuen Zugriffsrechte. Es macht bestehende Informationen aber einfacher auffindbar. Deshalb ist Berechtigungs- und Informationshygiene die zentrale Sicherheitsvoraussetzung; Agents, Connectoren und externe Aktionen bleiben separat zu bewerten.</w:t>
            </w:r>
          </w:p>
        </w:tc>
      </w:tr>
    </w:tbl>
    <w:p w14:paraId="7296B905" w14:textId="38184E0F" w:rsidR="00D542F3" w:rsidRDefault="00D542F3">
      <w:pPr>
        <w:spacing w:after="0"/>
      </w:pPr>
    </w:p>
    <w:p w14:paraId="17776853" w14:textId="77777777" w:rsidR="00D542F3" w:rsidRDefault="00D542F3">
      <w:pPr>
        <w:tabs>
          <w:tab w:val="clear" w:pos="9780"/>
        </w:tabs>
        <w:spacing w:after="200" w:line="276" w:lineRule="auto"/>
        <w:ind w:left="0"/>
      </w:pPr>
      <w:r>
        <w:br w:type="page"/>
      </w:r>
    </w:p>
    <w:p w14:paraId="1B44FA44" w14:textId="1E3ED5E9" w:rsidR="00D80E44" w:rsidRPr="00D542F3" w:rsidRDefault="004530DE">
      <w:pPr>
        <w:pStyle w:val="berschrift1"/>
        <w:rPr>
          <w:lang w:val="en-US"/>
        </w:rPr>
      </w:pPr>
      <w:bookmarkStart w:id="11" w:name="_Toc236813377"/>
      <w:r w:rsidRPr="00D542F3">
        <w:rPr>
          <w:rFonts w:cs="Calibri"/>
          <w:lang w:val="en-US"/>
        </w:rPr>
        <w:lastRenderedPageBreak/>
        <w:t>Use-Case-Governance und Freigabeprozess</w:t>
      </w:r>
      <w:bookmarkEnd w:id="11"/>
    </w:p>
    <w:p w14:paraId="4041C983" w14:textId="77777777" w:rsidR="00D80E44" w:rsidRDefault="004530DE">
      <w:r>
        <w:rPr>
          <w:rFonts w:cs="Calibri"/>
        </w:rPr>
        <w:t>Ein Copilot-Rollout wird steuerbar, wenn nicht nur das Produkt, sondern jeder relevante Anwendungsfall bewertet wird. Der Zweck entscheidet über das Risiko. Dieselbe technische Funktion kann als harmlose Textunterstützung unkritisch sein oder bei einer Entscheidung über Mitarbeitende, Kundinnen und Kunden oder andere Personen eine besondere Prüfung erfordern.</w:t>
      </w:r>
    </w:p>
    <w:p w14:paraId="36DC7305" w14:textId="091D47D6" w:rsidR="00D80E44" w:rsidRDefault="004530DE" w:rsidP="00D542F3">
      <w:pPr>
        <w:pStyle w:val="berschrift2"/>
      </w:pPr>
      <w:bookmarkStart w:id="12" w:name="_Toc236813378"/>
      <w:r>
        <w:t>Ampel für Anwendungsfälle</w:t>
      </w:r>
      <w:bookmarkEnd w:id="12"/>
    </w:p>
    <w:tbl>
      <w:tblPr>
        <w:tblW w:w="9780" w:type="dxa"/>
        <w:tblInd w:w="120" w:type="dxa"/>
        <w:tblLayout w:type="fixed"/>
        <w:tblLook w:val="04A0" w:firstRow="1" w:lastRow="0" w:firstColumn="1" w:lastColumn="0" w:noHBand="0" w:noVBand="1"/>
      </w:tblPr>
      <w:tblGrid>
        <w:gridCol w:w="1432"/>
        <w:gridCol w:w="3980"/>
        <w:gridCol w:w="4368"/>
      </w:tblGrid>
      <w:tr w:rsidR="00D80E44" w14:paraId="144ED375" w14:textId="77777777" w:rsidTr="00236AE7">
        <w:trPr>
          <w:cantSplit/>
          <w:tblHeader/>
        </w:trPr>
        <w:tc>
          <w:tcPr>
            <w:tcW w:w="1432"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423544C8" w14:textId="77777777" w:rsidR="00D80E44" w:rsidRDefault="004530DE" w:rsidP="00236AE7">
            <w:pPr>
              <w:ind w:left="0"/>
            </w:pPr>
            <w:r>
              <w:rPr>
                <w:rFonts w:cs="Calibri"/>
                <w:b/>
                <w:color w:val="333333"/>
                <w:sz w:val="19"/>
              </w:rPr>
              <w:t>Stufe</w:t>
            </w:r>
          </w:p>
        </w:tc>
        <w:tc>
          <w:tcPr>
            <w:tcW w:w="3980"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109C8ED1" w14:textId="77777777" w:rsidR="00D80E44" w:rsidRDefault="004530DE" w:rsidP="00236AE7">
            <w:pPr>
              <w:ind w:left="0"/>
            </w:pPr>
            <w:r>
              <w:rPr>
                <w:rFonts w:cs="Calibri"/>
                <w:b/>
                <w:color w:val="333333"/>
                <w:sz w:val="19"/>
              </w:rPr>
              <w:t>Beispiele</w:t>
            </w:r>
          </w:p>
        </w:tc>
        <w:tc>
          <w:tcPr>
            <w:tcW w:w="4368"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611F9974" w14:textId="77777777" w:rsidR="00D80E44" w:rsidRDefault="004530DE" w:rsidP="00236AE7">
            <w:pPr>
              <w:ind w:left="0"/>
            </w:pPr>
            <w:r>
              <w:rPr>
                <w:rFonts w:cs="Calibri"/>
                <w:b/>
                <w:color w:val="333333"/>
                <w:sz w:val="19"/>
              </w:rPr>
              <w:t>Regel für die Freigabe</w:t>
            </w:r>
          </w:p>
        </w:tc>
      </w:tr>
      <w:tr w:rsidR="00D80E44" w14:paraId="6A5DABCB" w14:textId="77777777" w:rsidTr="00236AE7">
        <w:trPr>
          <w:cantSplit/>
        </w:trPr>
        <w:tc>
          <w:tcPr>
            <w:tcW w:w="1432" w:type="dxa"/>
          </w:tcPr>
          <w:p w14:paraId="2F12DA97" w14:textId="77777777" w:rsidR="00D80E44" w:rsidRDefault="004530DE" w:rsidP="00236AE7">
            <w:pPr>
              <w:spacing w:after="0" w:line="264" w:lineRule="auto"/>
              <w:ind w:left="0"/>
            </w:pPr>
            <w:r>
              <w:rPr>
                <w:rFonts w:cs="Calibri"/>
                <w:sz w:val="18"/>
              </w:rPr>
              <w:t>Grün</w:t>
            </w:r>
          </w:p>
        </w:tc>
        <w:tc>
          <w:tcPr>
            <w:tcW w:w="3980" w:type="dxa"/>
          </w:tcPr>
          <w:p w14:paraId="01589758" w14:textId="77777777" w:rsidR="00D80E44" w:rsidRDefault="004530DE" w:rsidP="00236AE7">
            <w:pPr>
              <w:spacing w:after="0" w:line="264" w:lineRule="auto"/>
              <w:ind w:left="0"/>
            </w:pPr>
            <w:r>
              <w:rPr>
                <w:rFonts w:cs="Calibri"/>
                <w:sz w:val="18"/>
              </w:rPr>
              <w:t>Textentwürfe, Übersetzungen, Besprechungszusammenfassungen, Ideenfindung oder Zusammenfassungen von Daten, für die der Nutzer bereits berechtigt ist.</w:t>
            </w:r>
          </w:p>
        </w:tc>
        <w:tc>
          <w:tcPr>
            <w:tcW w:w="4368" w:type="dxa"/>
          </w:tcPr>
          <w:p w14:paraId="3EB2BF32" w14:textId="77777777" w:rsidR="00D80E44" w:rsidRDefault="004530DE" w:rsidP="00236AE7">
            <w:pPr>
              <w:spacing w:after="0" w:line="264" w:lineRule="auto"/>
              <w:ind w:left="0"/>
            </w:pPr>
            <w:r>
              <w:rPr>
                <w:rFonts w:cs="Calibri"/>
                <w:sz w:val="18"/>
              </w:rPr>
              <w:t>Im freigegebenen Scope zulässig. Nutzungsleitlinie, fachliche Prüfung und Datenminimierung gelten immer.</w:t>
            </w:r>
          </w:p>
        </w:tc>
      </w:tr>
      <w:tr w:rsidR="00D80E44" w14:paraId="5CC888A1" w14:textId="77777777" w:rsidTr="00236AE7">
        <w:trPr>
          <w:cantSplit/>
        </w:trPr>
        <w:tc>
          <w:tcPr>
            <w:tcW w:w="1432" w:type="dxa"/>
          </w:tcPr>
          <w:p w14:paraId="26946CC1" w14:textId="77777777" w:rsidR="00D80E44" w:rsidRDefault="004530DE" w:rsidP="00236AE7">
            <w:pPr>
              <w:spacing w:after="0" w:line="264" w:lineRule="auto"/>
              <w:ind w:left="0"/>
            </w:pPr>
            <w:r>
              <w:rPr>
                <w:rFonts w:cs="Calibri"/>
                <w:sz w:val="18"/>
              </w:rPr>
              <w:t>Gelb</w:t>
            </w:r>
          </w:p>
        </w:tc>
        <w:tc>
          <w:tcPr>
            <w:tcW w:w="3980" w:type="dxa"/>
          </w:tcPr>
          <w:p w14:paraId="271CF212" w14:textId="77777777" w:rsidR="00D80E44" w:rsidRDefault="004530DE" w:rsidP="00236AE7">
            <w:pPr>
              <w:spacing w:after="0" w:line="264" w:lineRule="auto"/>
              <w:ind w:left="0"/>
            </w:pPr>
            <w:r>
              <w:rPr>
                <w:rFonts w:cs="Calibri"/>
                <w:sz w:val="18"/>
              </w:rPr>
              <w:t>Kundenkommunikation, vertrauliche Informationen, Code mit Produktivwirkung, veröffentlichte Inhalte, Agents, Connectoren, Web Grounding oder Prozessautomatisierung.</w:t>
            </w:r>
          </w:p>
        </w:tc>
        <w:tc>
          <w:tcPr>
            <w:tcW w:w="4368" w:type="dxa"/>
          </w:tcPr>
          <w:p w14:paraId="1C7F5ABB" w14:textId="77777777" w:rsidR="00D80E44" w:rsidRDefault="004530DE" w:rsidP="00236AE7">
            <w:pPr>
              <w:spacing w:after="0" w:line="264" w:lineRule="auto"/>
              <w:ind w:left="0"/>
            </w:pPr>
            <w:r>
              <w:rPr>
                <w:rFonts w:cs="Calibri"/>
                <w:sz w:val="18"/>
              </w:rPr>
              <w:t>Use-Case-Steckbrief, fachliche Verantwortung, Daten-/Berechtigungscheck und gegebenenfalls Datenschutz- oder Security-Freigabe erforderlich.</w:t>
            </w:r>
          </w:p>
        </w:tc>
      </w:tr>
      <w:tr w:rsidR="00D80E44" w14:paraId="15D35855" w14:textId="77777777" w:rsidTr="00236AE7">
        <w:trPr>
          <w:cantSplit/>
        </w:trPr>
        <w:tc>
          <w:tcPr>
            <w:tcW w:w="1432" w:type="dxa"/>
          </w:tcPr>
          <w:p w14:paraId="142E7A62" w14:textId="77777777" w:rsidR="00D80E44" w:rsidRDefault="004530DE" w:rsidP="00236AE7">
            <w:pPr>
              <w:spacing w:after="0" w:line="264" w:lineRule="auto"/>
              <w:ind w:left="0"/>
            </w:pPr>
            <w:r>
              <w:rPr>
                <w:rFonts w:cs="Calibri"/>
                <w:sz w:val="18"/>
              </w:rPr>
              <w:t>Rot</w:t>
            </w:r>
          </w:p>
        </w:tc>
        <w:tc>
          <w:tcPr>
            <w:tcW w:w="3980" w:type="dxa"/>
          </w:tcPr>
          <w:p w14:paraId="5619B8AC" w14:textId="77777777" w:rsidR="00D80E44" w:rsidRDefault="004530DE" w:rsidP="00236AE7">
            <w:pPr>
              <w:spacing w:after="0" w:line="264" w:lineRule="auto"/>
              <w:ind w:left="0"/>
            </w:pPr>
            <w:r>
              <w:rPr>
                <w:rFonts w:cs="Calibri"/>
                <w:sz w:val="18"/>
              </w:rPr>
              <w:t>Bewerberauswahl, Leistungs- oder Verhaltensbewertung, emotionserkennende oder biometrische Nutzung, Entscheidungen mit erheblichen Folgen für Personen.</w:t>
            </w:r>
          </w:p>
        </w:tc>
        <w:tc>
          <w:tcPr>
            <w:tcW w:w="4368" w:type="dxa"/>
          </w:tcPr>
          <w:p w14:paraId="33CE8BBB" w14:textId="77777777" w:rsidR="00D80E44" w:rsidRDefault="004530DE" w:rsidP="00236AE7">
            <w:pPr>
              <w:spacing w:after="0" w:line="264" w:lineRule="auto"/>
              <w:ind w:left="0"/>
            </w:pPr>
            <w:r>
              <w:rPr>
                <w:rFonts w:cs="Calibri"/>
                <w:sz w:val="18"/>
              </w:rPr>
              <w:t>Nicht über den Standardrollout zulassen. Separate rechtliche, datenschutzrechtliche, mitbestimmungsrechtliche und gegebenenfalls Hochrisiko-Prüfung.</w:t>
            </w:r>
          </w:p>
        </w:tc>
      </w:tr>
    </w:tbl>
    <w:p w14:paraId="67F06EB9" w14:textId="77777777" w:rsidR="00D80E44" w:rsidRDefault="00D80E44">
      <w:pPr>
        <w:spacing w:after="0"/>
      </w:pPr>
    </w:p>
    <w:p w14:paraId="0DD491BE" w14:textId="53C9C3FA" w:rsidR="00D80E44" w:rsidRDefault="004530DE" w:rsidP="00D542F3">
      <w:pPr>
        <w:pStyle w:val="berschrift2"/>
      </w:pPr>
      <w:bookmarkStart w:id="13" w:name="_Toc236813379"/>
      <w:r>
        <w:t>Pflichtangaben im Use-Case-Steckbrief</w:t>
      </w:r>
      <w:bookmarkEnd w:id="13"/>
    </w:p>
    <w:p w14:paraId="2EE7D408" w14:textId="77777777" w:rsidR="00D80E44" w:rsidRDefault="004530DE">
      <w:r>
        <w:rPr>
          <w:rFonts w:cs="Calibri"/>
        </w:rPr>
        <w:t>Jeder gelbe oder rote Anwendungsfall und jeder neue Agent beziehungsweise Connector wird vor Aktivierung als Steckbrief dokumentiert. Die Informationen erlauben eine nachvollziehbare Entscheidung und werden im KI-Systemregister verlinkt.</w:t>
      </w:r>
    </w:p>
    <w:tbl>
      <w:tblPr>
        <w:tblW w:w="9780" w:type="dxa"/>
        <w:tblInd w:w="120" w:type="dxa"/>
        <w:tblLayout w:type="fixed"/>
        <w:tblLook w:val="04A0" w:firstRow="1" w:lastRow="0" w:firstColumn="1" w:lastColumn="0" w:noHBand="0" w:noVBand="1"/>
      </w:tblPr>
      <w:tblGrid>
        <w:gridCol w:w="1923"/>
        <w:gridCol w:w="3156"/>
        <w:gridCol w:w="4701"/>
      </w:tblGrid>
      <w:tr w:rsidR="00D80E44" w14:paraId="4041F643" w14:textId="77777777">
        <w:trPr>
          <w:cantSplit/>
          <w:tblHeader/>
        </w:trPr>
        <w:tc>
          <w:tcPr>
            <w:tcW w:w="1923"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0EBDFE9E" w14:textId="77777777" w:rsidR="00D80E44" w:rsidRDefault="004530DE" w:rsidP="00236AE7">
            <w:pPr>
              <w:ind w:left="0"/>
            </w:pPr>
            <w:r>
              <w:rPr>
                <w:rFonts w:cs="Calibri"/>
                <w:b/>
                <w:color w:val="333333"/>
                <w:sz w:val="19"/>
              </w:rPr>
              <w:t>Feld</w:t>
            </w:r>
          </w:p>
        </w:tc>
        <w:tc>
          <w:tcPr>
            <w:tcW w:w="3156"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29DDA05B" w14:textId="77777777" w:rsidR="00D80E44" w:rsidRDefault="004530DE" w:rsidP="00236AE7">
            <w:pPr>
              <w:ind w:left="0"/>
            </w:pPr>
            <w:r>
              <w:rPr>
                <w:rFonts w:cs="Calibri"/>
                <w:b/>
                <w:color w:val="333333"/>
                <w:sz w:val="19"/>
              </w:rPr>
              <w:t>Leitfrage</w:t>
            </w:r>
          </w:p>
        </w:tc>
        <w:tc>
          <w:tcPr>
            <w:tcW w:w="4701"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365D9C4D" w14:textId="77777777" w:rsidR="00D80E44" w:rsidRDefault="004530DE" w:rsidP="00236AE7">
            <w:pPr>
              <w:ind w:left="0"/>
            </w:pPr>
            <w:r>
              <w:rPr>
                <w:rFonts w:cs="Calibri"/>
                <w:b/>
                <w:color w:val="333333"/>
                <w:sz w:val="19"/>
              </w:rPr>
              <w:t>Beispiel für einen ausreichenden Eintrag</w:t>
            </w:r>
          </w:p>
        </w:tc>
      </w:tr>
      <w:tr w:rsidR="00D80E44" w14:paraId="386106AF" w14:textId="77777777">
        <w:trPr>
          <w:cantSplit/>
        </w:trPr>
        <w:tc>
          <w:tcPr>
            <w:tcW w:w="1923" w:type="dxa"/>
          </w:tcPr>
          <w:p w14:paraId="3D913C56" w14:textId="77777777" w:rsidR="00D80E44" w:rsidRDefault="004530DE" w:rsidP="00236AE7">
            <w:pPr>
              <w:spacing w:after="0" w:line="264" w:lineRule="auto"/>
              <w:ind w:left="0"/>
            </w:pPr>
            <w:r>
              <w:rPr>
                <w:rFonts w:cs="Calibri"/>
                <w:sz w:val="18"/>
              </w:rPr>
              <w:t>Name und Eigentümer</w:t>
            </w:r>
          </w:p>
        </w:tc>
        <w:tc>
          <w:tcPr>
            <w:tcW w:w="3156" w:type="dxa"/>
          </w:tcPr>
          <w:p w14:paraId="07C47A79" w14:textId="77777777" w:rsidR="00D80E44" w:rsidRDefault="004530DE" w:rsidP="00236AE7">
            <w:pPr>
              <w:spacing w:after="0" w:line="264" w:lineRule="auto"/>
              <w:ind w:left="0"/>
            </w:pPr>
            <w:r>
              <w:rPr>
                <w:rFonts w:cs="Calibri"/>
                <w:sz w:val="18"/>
              </w:rPr>
              <w:t>Wer verantwortet den fachlichen Zweck und die Daten?</w:t>
            </w:r>
          </w:p>
        </w:tc>
        <w:tc>
          <w:tcPr>
            <w:tcW w:w="4701" w:type="dxa"/>
          </w:tcPr>
          <w:p w14:paraId="179B3586" w14:textId="77777777" w:rsidR="00D80E44" w:rsidRDefault="004530DE" w:rsidP="00236AE7">
            <w:pPr>
              <w:spacing w:after="0" w:line="264" w:lineRule="auto"/>
              <w:ind w:left="0"/>
            </w:pPr>
            <w:r>
              <w:rPr>
                <w:rFonts w:cs="Calibri"/>
                <w:sz w:val="18"/>
              </w:rPr>
              <w:t>Angebotsentwürfe Vertrieb | Owner: Leitung Vertrieb</w:t>
            </w:r>
          </w:p>
        </w:tc>
      </w:tr>
      <w:tr w:rsidR="00D80E44" w14:paraId="50801D2D" w14:textId="77777777">
        <w:trPr>
          <w:cantSplit/>
        </w:trPr>
        <w:tc>
          <w:tcPr>
            <w:tcW w:w="1923" w:type="dxa"/>
          </w:tcPr>
          <w:p w14:paraId="7D4A3978" w14:textId="77777777" w:rsidR="00D80E44" w:rsidRDefault="004530DE" w:rsidP="00236AE7">
            <w:pPr>
              <w:spacing w:after="0" w:line="264" w:lineRule="auto"/>
              <w:ind w:left="0"/>
            </w:pPr>
            <w:r>
              <w:rPr>
                <w:rFonts w:cs="Calibri"/>
                <w:sz w:val="18"/>
              </w:rPr>
              <w:t>Zweck und Nutzen</w:t>
            </w:r>
          </w:p>
        </w:tc>
        <w:tc>
          <w:tcPr>
            <w:tcW w:w="3156" w:type="dxa"/>
          </w:tcPr>
          <w:p w14:paraId="238B9EE4" w14:textId="77777777" w:rsidR="00D80E44" w:rsidRDefault="004530DE" w:rsidP="00236AE7">
            <w:pPr>
              <w:spacing w:after="0" w:line="264" w:lineRule="auto"/>
              <w:ind w:left="0"/>
            </w:pPr>
            <w:r>
              <w:rPr>
                <w:rFonts w:cs="Calibri"/>
                <w:sz w:val="18"/>
              </w:rPr>
              <w:t>Welches konkrete Problem wird gelöst?</w:t>
            </w:r>
          </w:p>
        </w:tc>
        <w:tc>
          <w:tcPr>
            <w:tcW w:w="4701" w:type="dxa"/>
          </w:tcPr>
          <w:p w14:paraId="3E5B52B1" w14:textId="77777777" w:rsidR="00D80E44" w:rsidRDefault="004530DE" w:rsidP="00236AE7">
            <w:pPr>
              <w:spacing w:after="0" w:line="264" w:lineRule="auto"/>
              <w:ind w:left="0"/>
            </w:pPr>
            <w:r>
              <w:rPr>
                <w:rFonts w:cs="Calibri"/>
                <w:sz w:val="18"/>
              </w:rPr>
              <w:t>Erster Entwurf standardisierter Angebotsabschnitte; Einsparung manueller Recherche.</w:t>
            </w:r>
          </w:p>
        </w:tc>
      </w:tr>
      <w:tr w:rsidR="00D80E44" w14:paraId="25B9A741" w14:textId="77777777">
        <w:trPr>
          <w:cantSplit/>
        </w:trPr>
        <w:tc>
          <w:tcPr>
            <w:tcW w:w="1923" w:type="dxa"/>
          </w:tcPr>
          <w:p w14:paraId="5DEC2F1F" w14:textId="77777777" w:rsidR="00D80E44" w:rsidRDefault="004530DE" w:rsidP="00236AE7">
            <w:pPr>
              <w:spacing w:after="0" w:line="264" w:lineRule="auto"/>
              <w:ind w:left="0"/>
            </w:pPr>
            <w:r>
              <w:rPr>
                <w:rFonts w:cs="Calibri"/>
                <w:sz w:val="18"/>
              </w:rPr>
              <w:t>Nutzerkreis</w:t>
            </w:r>
          </w:p>
        </w:tc>
        <w:tc>
          <w:tcPr>
            <w:tcW w:w="3156" w:type="dxa"/>
          </w:tcPr>
          <w:p w14:paraId="48D8A80E" w14:textId="77777777" w:rsidR="00D80E44" w:rsidRDefault="004530DE" w:rsidP="00236AE7">
            <w:pPr>
              <w:spacing w:after="0" w:line="264" w:lineRule="auto"/>
              <w:ind w:left="0"/>
            </w:pPr>
            <w:r>
              <w:rPr>
                <w:rFonts w:cs="Calibri"/>
                <w:sz w:val="18"/>
              </w:rPr>
              <w:t>Wer darf die Funktion nutzen?</w:t>
            </w:r>
          </w:p>
        </w:tc>
        <w:tc>
          <w:tcPr>
            <w:tcW w:w="4701" w:type="dxa"/>
          </w:tcPr>
          <w:p w14:paraId="3AB3FB3A" w14:textId="77777777" w:rsidR="00D80E44" w:rsidRDefault="004530DE" w:rsidP="00236AE7">
            <w:pPr>
              <w:spacing w:after="0" w:line="264" w:lineRule="auto"/>
              <w:ind w:left="0"/>
            </w:pPr>
            <w:r>
              <w:rPr>
                <w:rFonts w:cs="Calibri"/>
                <w:sz w:val="18"/>
              </w:rPr>
              <w:t>Pilotgruppe Vertrieb, fünf benannte Personen.</w:t>
            </w:r>
          </w:p>
        </w:tc>
      </w:tr>
      <w:tr w:rsidR="00D80E44" w14:paraId="3DF05A0A" w14:textId="77777777">
        <w:trPr>
          <w:cantSplit/>
        </w:trPr>
        <w:tc>
          <w:tcPr>
            <w:tcW w:w="1923" w:type="dxa"/>
          </w:tcPr>
          <w:p w14:paraId="5E523184" w14:textId="77777777" w:rsidR="00D80E44" w:rsidRDefault="004530DE" w:rsidP="00236AE7">
            <w:pPr>
              <w:spacing w:after="0" w:line="264" w:lineRule="auto"/>
              <w:ind w:left="0"/>
            </w:pPr>
            <w:r>
              <w:rPr>
                <w:rFonts w:cs="Calibri"/>
                <w:sz w:val="18"/>
              </w:rPr>
              <w:t>Daten und Quellen</w:t>
            </w:r>
          </w:p>
        </w:tc>
        <w:tc>
          <w:tcPr>
            <w:tcW w:w="3156" w:type="dxa"/>
          </w:tcPr>
          <w:p w14:paraId="12428B0B" w14:textId="77777777" w:rsidR="00D80E44" w:rsidRDefault="004530DE" w:rsidP="00236AE7">
            <w:pPr>
              <w:spacing w:after="0" w:line="264" w:lineRule="auto"/>
              <w:ind w:left="0"/>
            </w:pPr>
            <w:r>
              <w:rPr>
                <w:rFonts w:cs="Calibri"/>
                <w:sz w:val="18"/>
              </w:rPr>
              <w:t>Welche Informationen werden verarbeitet oder referenziert?</w:t>
            </w:r>
          </w:p>
        </w:tc>
        <w:tc>
          <w:tcPr>
            <w:tcW w:w="4701" w:type="dxa"/>
          </w:tcPr>
          <w:p w14:paraId="1DDCE2AA" w14:textId="77777777" w:rsidR="00D80E44" w:rsidRDefault="004530DE" w:rsidP="00236AE7">
            <w:pPr>
              <w:spacing w:after="0" w:line="264" w:lineRule="auto"/>
              <w:ind w:left="0"/>
            </w:pPr>
            <w:r>
              <w:rPr>
                <w:rFonts w:cs="Calibri"/>
                <w:sz w:val="18"/>
              </w:rPr>
              <w:t>Freigegebene Produktunterlagen und eigene Angebotsvorlagen; keine Kundendaten im Pilot.</w:t>
            </w:r>
          </w:p>
        </w:tc>
      </w:tr>
      <w:tr w:rsidR="00D80E44" w14:paraId="035AC44E" w14:textId="77777777">
        <w:trPr>
          <w:cantSplit/>
        </w:trPr>
        <w:tc>
          <w:tcPr>
            <w:tcW w:w="1923" w:type="dxa"/>
          </w:tcPr>
          <w:p w14:paraId="48BB1A02" w14:textId="77777777" w:rsidR="00D80E44" w:rsidRDefault="004530DE" w:rsidP="00236AE7">
            <w:pPr>
              <w:spacing w:after="0" w:line="264" w:lineRule="auto"/>
              <w:ind w:left="0"/>
            </w:pPr>
            <w:r>
              <w:rPr>
                <w:rFonts w:cs="Calibri"/>
                <w:sz w:val="18"/>
              </w:rPr>
              <w:t>Entscheidungswirkung</w:t>
            </w:r>
          </w:p>
        </w:tc>
        <w:tc>
          <w:tcPr>
            <w:tcW w:w="3156" w:type="dxa"/>
          </w:tcPr>
          <w:p w14:paraId="4CE1998A" w14:textId="77777777" w:rsidR="00D80E44" w:rsidRDefault="004530DE" w:rsidP="00236AE7">
            <w:pPr>
              <w:spacing w:after="0" w:line="264" w:lineRule="auto"/>
              <w:ind w:left="0"/>
            </w:pPr>
            <w:r>
              <w:rPr>
                <w:rFonts w:cs="Calibri"/>
                <w:sz w:val="18"/>
              </w:rPr>
              <w:t>Hat die Ausgabe Einfluss auf Personen, Rechte, Geld oder Sicherheit?</w:t>
            </w:r>
          </w:p>
        </w:tc>
        <w:tc>
          <w:tcPr>
            <w:tcW w:w="4701" w:type="dxa"/>
          </w:tcPr>
          <w:p w14:paraId="05CC22AC" w14:textId="77777777" w:rsidR="00D80E44" w:rsidRDefault="004530DE" w:rsidP="00236AE7">
            <w:pPr>
              <w:spacing w:after="0" w:line="264" w:lineRule="auto"/>
              <w:ind w:left="0"/>
            </w:pPr>
            <w:r>
              <w:rPr>
                <w:rFonts w:cs="Calibri"/>
                <w:sz w:val="18"/>
              </w:rPr>
              <w:t>Nein, Ausgabe ist ein Entwurf und wird durch Sales Lead geprüft.</w:t>
            </w:r>
          </w:p>
        </w:tc>
      </w:tr>
      <w:tr w:rsidR="00D80E44" w14:paraId="0933807E" w14:textId="77777777">
        <w:trPr>
          <w:cantSplit/>
        </w:trPr>
        <w:tc>
          <w:tcPr>
            <w:tcW w:w="1923" w:type="dxa"/>
          </w:tcPr>
          <w:p w14:paraId="4C299111" w14:textId="77777777" w:rsidR="00D80E44" w:rsidRDefault="004530DE" w:rsidP="00236AE7">
            <w:pPr>
              <w:spacing w:after="0" w:line="264" w:lineRule="auto"/>
              <w:ind w:left="0"/>
            </w:pPr>
            <w:r>
              <w:rPr>
                <w:rFonts w:cs="Calibri"/>
                <w:sz w:val="18"/>
              </w:rPr>
              <w:t>Menschliche Kontrolle</w:t>
            </w:r>
          </w:p>
        </w:tc>
        <w:tc>
          <w:tcPr>
            <w:tcW w:w="3156" w:type="dxa"/>
          </w:tcPr>
          <w:p w14:paraId="71AF23DF" w14:textId="77777777" w:rsidR="00D80E44" w:rsidRDefault="004530DE" w:rsidP="00236AE7">
            <w:pPr>
              <w:spacing w:after="0" w:line="264" w:lineRule="auto"/>
              <w:ind w:left="0"/>
            </w:pPr>
            <w:r>
              <w:rPr>
                <w:rFonts w:cs="Calibri"/>
                <w:sz w:val="18"/>
              </w:rPr>
              <w:t>Wer prüft was, bevor das Ergebnis weitergegeben wird?</w:t>
            </w:r>
          </w:p>
        </w:tc>
        <w:tc>
          <w:tcPr>
            <w:tcW w:w="4701" w:type="dxa"/>
          </w:tcPr>
          <w:p w14:paraId="67001506" w14:textId="77777777" w:rsidR="00D80E44" w:rsidRDefault="004530DE" w:rsidP="00236AE7">
            <w:pPr>
              <w:spacing w:after="0" w:line="264" w:lineRule="auto"/>
              <w:ind w:left="0"/>
            </w:pPr>
            <w:r>
              <w:rPr>
                <w:rFonts w:cs="Calibri"/>
                <w:sz w:val="18"/>
              </w:rPr>
              <w:t>Sales Lead prüft Fakten, Preislogik, Zusagen und finale Kundenansprache.</w:t>
            </w:r>
          </w:p>
        </w:tc>
      </w:tr>
      <w:tr w:rsidR="00D80E44" w14:paraId="4A50DDC2" w14:textId="77777777">
        <w:trPr>
          <w:cantSplit/>
        </w:trPr>
        <w:tc>
          <w:tcPr>
            <w:tcW w:w="1923" w:type="dxa"/>
          </w:tcPr>
          <w:p w14:paraId="17D5182D" w14:textId="77777777" w:rsidR="00D80E44" w:rsidRDefault="004530DE" w:rsidP="00236AE7">
            <w:pPr>
              <w:spacing w:after="0" w:line="264" w:lineRule="auto"/>
              <w:ind w:left="0"/>
            </w:pPr>
            <w:r>
              <w:rPr>
                <w:rFonts w:cs="Calibri"/>
                <w:sz w:val="18"/>
              </w:rPr>
              <w:t>Risiken und Schutzmaßnahmen</w:t>
            </w:r>
          </w:p>
        </w:tc>
        <w:tc>
          <w:tcPr>
            <w:tcW w:w="3156" w:type="dxa"/>
          </w:tcPr>
          <w:p w14:paraId="650D24E0" w14:textId="77777777" w:rsidR="00D80E44" w:rsidRDefault="004530DE" w:rsidP="00236AE7">
            <w:pPr>
              <w:spacing w:after="0" w:line="264" w:lineRule="auto"/>
              <w:ind w:left="0"/>
            </w:pPr>
            <w:r>
              <w:rPr>
                <w:rFonts w:cs="Calibri"/>
                <w:sz w:val="18"/>
              </w:rPr>
              <w:t>Was kann schiefgehen und wie wird es verhindert?</w:t>
            </w:r>
          </w:p>
        </w:tc>
        <w:tc>
          <w:tcPr>
            <w:tcW w:w="4701" w:type="dxa"/>
          </w:tcPr>
          <w:p w14:paraId="444C9DDC" w14:textId="77777777" w:rsidR="00D80E44" w:rsidRDefault="004530DE" w:rsidP="00236AE7">
            <w:pPr>
              <w:spacing w:after="0" w:line="264" w:lineRule="auto"/>
              <w:ind w:left="0"/>
            </w:pPr>
            <w:r>
              <w:rPr>
                <w:rFonts w:cs="Calibri"/>
                <w:sz w:val="18"/>
              </w:rPr>
              <w:t>Halluzinationen: Quellenprüfung; Oversharing: bereinigte Datenquelle; Rechte: Textprüfung.</w:t>
            </w:r>
          </w:p>
        </w:tc>
      </w:tr>
      <w:tr w:rsidR="00D80E44" w14:paraId="5F5D03A8" w14:textId="77777777">
        <w:trPr>
          <w:cantSplit/>
        </w:trPr>
        <w:tc>
          <w:tcPr>
            <w:tcW w:w="1923" w:type="dxa"/>
          </w:tcPr>
          <w:p w14:paraId="1B583757" w14:textId="77777777" w:rsidR="00D80E44" w:rsidRDefault="004530DE" w:rsidP="00236AE7">
            <w:pPr>
              <w:spacing w:after="0" w:line="264" w:lineRule="auto"/>
              <w:ind w:left="0"/>
            </w:pPr>
            <w:r>
              <w:rPr>
                <w:rFonts w:cs="Calibri"/>
                <w:sz w:val="18"/>
              </w:rPr>
              <w:t>Freigabe und Review</w:t>
            </w:r>
          </w:p>
        </w:tc>
        <w:tc>
          <w:tcPr>
            <w:tcW w:w="3156" w:type="dxa"/>
          </w:tcPr>
          <w:p w14:paraId="224FD29C" w14:textId="77777777" w:rsidR="00D80E44" w:rsidRDefault="004530DE" w:rsidP="00236AE7">
            <w:pPr>
              <w:spacing w:after="0" w:line="264" w:lineRule="auto"/>
              <w:ind w:left="0"/>
            </w:pPr>
            <w:r>
              <w:rPr>
                <w:rFonts w:cs="Calibri"/>
                <w:sz w:val="18"/>
              </w:rPr>
              <w:t>Wer gibt frei und wann wird erneut geprüft?</w:t>
            </w:r>
          </w:p>
        </w:tc>
        <w:tc>
          <w:tcPr>
            <w:tcW w:w="4701" w:type="dxa"/>
          </w:tcPr>
          <w:p w14:paraId="6B4F6184" w14:textId="77777777" w:rsidR="00D80E44" w:rsidRDefault="004530DE" w:rsidP="00236AE7">
            <w:pPr>
              <w:spacing w:after="0" w:line="264" w:lineRule="auto"/>
              <w:ind w:left="0"/>
            </w:pPr>
            <w:r>
              <w:rPr>
                <w:rFonts w:cs="Calibri"/>
                <w:sz w:val="18"/>
              </w:rPr>
              <w:t>IT und Fachbereich freigegeben; Review nach acht Wochen sowie bei Connector-Änderung.</w:t>
            </w:r>
          </w:p>
        </w:tc>
      </w:tr>
    </w:tbl>
    <w:p w14:paraId="0E6223DE" w14:textId="77777777" w:rsidR="00D80E44" w:rsidRDefault="00D80E44">
      <w:pPr>
        <w:spacing w:after="0"/>
      </w:pPr>
    </w:p>
    <w:p w14:paraId="6606BB56" w14:textId="7A6D874A" w:rsidR="00D80E44" w:rsidRDefault="00D542F3" w:rsidP="00D542F3">
      <w:pPr>
        <w:pStyle w:val="berschrift2"/>
      </w:pPr>
      <w:bookmarkStart w:id="14" w:name="_Toc236813380"/>
      <w:r>
        <w:t>Standard-Freigabeablauf</w:t>
      </w:r>
      <w:bookmarkEnd w:id="14"/>
    </w:p>
    <w:p w14:paraId="2B4DBB38" w14:textId="77777777" w:rsidR="00D80E44" w:rsidRDefault="004530DE" w:rsidP="00D542F3">
      <w:pPr>
        <w:pStyle w:val="Listenabsatz"/>
        <w:numPr>
          <w:ilvl w:val="0"/>
          <w:numId w:val="13"/>
        </w:numPr>
      </w:pPr>
      <w:r>
        <w:t>Fachbereich beschreibt den Zweck, Nutzen und den gewünschten Nutzerkreis im Use-Case-Steckbrief.</w:t>
      </w:r>
    </w:p>
    <w:p w14:paraId="6014192D" w14:textId="77777777" w:rsidR="00D80E44" w:rsidRDefault="004530DE" w:rsidP="00D542F3">
      <w:pPr>
        <w:pStyle w:val="Listenabsatz"/>
        <w:numPr>
          <w:ilvl w:val="0"/>
          <w:numId w:val="13"/>
        </w:numPr>
      </w:pPr>
      <w:r>
        <w:t>KI-Verantwortung ordnet den Fall vorläufig als grün, gelb oder rot ein und benennt die erforderlichen Prüfbeteiligten.</w:t>
      </w:r>
    </w:p>
    <w:p w14:paraId="7E16B846" w14:textId="77777777" w:rsidR="00D80E44" w:rsidRDefault="004530DE" w:rsidP="00D542F3">
      <w:pPr>
        <w:pStyle w:val="Listenabsatz"/>
        <w:numPr>
          <w:ilvl w:val="0"/>
          <w:numId w:val="13"/>
        </w:numPr>
      </w:pPr>
      <w:r>
        <w:t>IT und Informationssicherheit prüfen Berechtigungen, Datenquellen, Agent-/Connector-Zugriffe, Auditierbarkeit und technische Schutzmaßnahmen.</w:t>
      </w:r>
    </w:p>
    <w:p w14:paraId="48A848F8" w14:textId="77777777" w:rsidR="00D80E44" w:rsidRDefault="004530DE" w:rsidP="00D542F3">
      <w:pPr>
        <w:pStyle w:val="Listenabsatz"/>
        <w:numPr>
          <w:ilvl w:val="0"/>
          <w:numId w:val="13"/>
        </w:numPr>
      </w:pPr>
      <w:r>
        <w:t>Datenschutz, Recht und bei Beschäftigtenbezug HR beziehungsweise Betriebsrat prüfen die jeweils erforderlichen Vorgaben.</w:t>
      </w:r>
    </w:p>
    <w:p w14:paraId="7B042F87" w14:textId="77777777" w:rsidR="00D80E44" w:rsidRDefault="004530DE" w:rsidP="00D542F3">
      <w:pPr>
        <w:pStyle w:val="Listenabsatz"/>
        <w:numPr>
          <w:ilvl w:val="0"/>
          <w:numId w:val="13"/>
        </w:numPr>
      </w:pPr>
      <w:r>
        <w:t>Die benannte Entscheidungsinstanz gibt den Pilot frei, dokumentiert Auflagen und legt den Reviewtermin fest.</w:t>
      </w:r>
    </w:p>
    <w:p w14:paraId="6AA03B49" w14:textId="77777777" w:rsidR="00D80E44" w:rsidRPr="00D542F3" w:rsidRDefault="004530DE" w:rsidP="00D542F3">
      <w:pPr>
        <w:pStyle w:val="Listenabsatz"/>
        <w:numPr>
          <w:ilvl w:val="0"/>
          <w:numId w:val="13"/>
        </w:numPr>
      </w:pPr>
      <w:r>
        <w:t>Nach dem Pilot werden Wirkung, Risiken, Vorfälle und Nutzerfeedback bewertet, bevor der Scope erweitert wird.</w:t>
      </w:r>
    </w:p>
    <w:p w14:paraId="200F596E" w14:textId="4324E5B3" w:rsidR="00D80E44" w:rsidRDefault="004530DE" w:rsidP="00D542F3">
      <w:pPr>
        <w:pStyle w:val="berschrift2"/>
      </w:pPr>
      <w:bookmarkStart w:id="15" w:name="_Toc236813381"/>
      <w:r w:rsidRPr="00D542F3">
        <w:t>Besondere</w:t>
      </w:r>
      <w:r>
        <w:t xml:space="preserve"> Regeln für Agents und Connectoren</w:t>
      </w:r>
      <w:bookmarkEnd w:id="15"/>
    </w:p>
    <w:tbl>
      <w:tblPr>
        <w:tblW w:w="9780" w:type="dxa"/>
        <w:tblInd w:w="120" w:type="dxa"/>
        <w:tblLayout w:type="fixed"/>
        <w:tblLook w:val="04A0" w:firstRow="1" w:lastRow="0" w:firstColumn="1" w:lastColumn="0" w:noHBand="0" w:noVBand="1"/>
      </w:tblPr>
      <w:tblGrid>
        <w:gridCol w:w="2508"/>
        <w:gridCol w:w="4023"/>
        <w:gridCol w:w="3249"/>
      </w:tblGrid>
      <w:tr w:rsidR="00D80E44" w14:paraId="7B3E38BC" w14:textId="77777777">
        <w:trPr>
          <w:cantSplit/>
          <w:tblHeader/>
        </w:trPr>
        <w:tc>
          <w:tcPr>
            <w:tcW w:w="2508"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07E698BF" w14:textId="77777777" w:rsidR="00D80E44" w:rsidRDefault="004530DE" w:rsidP="00236AE7">
            <w:pPr>
              <w:ind w:left="0"/>
            </w:pPr>
            <w:r>
              <w:rPr>
                <w:rFonts w:cs="Calibri"/>
                <w:b/>
                <w:color w:val="333333"/>
                <w:sz w:val="19"/>
              </w:rPr>
              <w:t>Kontrolle</w:t>
            </w:r>
          </w:p>
        </w:tc>
        <w:tc>
          <w:tcPr>
            <w:tcW w:w="4023"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347E8B50" w14:textId="77777777" w:rsidR="00D80E44" w:rsidRDefault="004530DE" w:rsidP="00236AE7">
            <w:pPr>
              <w:ind w:left="0"/>
            </w:pPr>
            <w:r>
              <w:rPr>
                <w:rFonts w:cs="Calibri"/>
                <w:b/>
                <w:color w:val="333333"/>
                <w:sz w:val="19"/>
              </w:rPr>
              <w:t>Warum sie wichtig ist</w:t>
            </w:r>
          </w:p>
        </w:tc>
        <w:tc>
          <w:tcPr>
            <w:tcW w:w="3249"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75B3512E" w14:textId="77777777" w:rsidR="00D80E44" w:rsidRDefault="004530DE" w:rsidP="00236AE7">
            <w:pPr>
              <w:ind w:left="0"/>
            </w:pPr>
            <w:r>
              <w:rPr>
                <w:rFonts w:cs="Calibri"/>
                <w:b/>
                <w:color w:val="333333"/>
                <w:sz w:val="19"/>
              </w:rPr>
              <w:t>Mindestnachweis</w:t>
            </w:r>
          </w:p>
        </w:tc>
      </w:tr>
      <w:tr w:rsidR="00D80E44" w14:paraId="31E262D9" w14:textId="77777777">
        <w:trPr>
          <w:cantSplit/>
        </w:trPr>
        <w:tc>
          <w:tcPr>
            <w:tcW w:w="2508" w:type="dxa"/>
          </w:tcPr>
          <w:p w14:paraId="1D137B36" w14:textId="77777777" w:rsidR="00D80E44" w:rsidRDefault="004530DE" w:rsidP="00236AE7">
            <w:pPr>
              <w:spacing w:after="0" w:line="264" w:lineRule="auto"/>
              <w:ind w:left="0"/>
            </w:pPr>
            <w:r>
              <w:rPr>
                <w:rFonts w:cs="Calibri"/>
                <w:sz w:val="18"/>
              </w:rPr>
              <w:t>Eigentümer und Stellvertretung</w:t>
            </w:r>
          </w:p>
        </w:tc>
        <w:tc>
          <w:tcPr>
            <w:tcW w:w="4023" w:type="dxa"/>
          </w:tcPr>
          <w:p w14:paraId="0F6A8449" w14:textId="77777777" w:rsidR="00D80E44" w:rsidRDefault="004530DE" w:rsidP="00236AE7">
            <w:pPr>
              <w:spacing w:after="0" w:line="264" w:lineRule="auto"/>
              <w:ind w:left="0"/>
            </w:pPr>
            <w:r>
              <w:rPr>
                <w:rFonts w:cs="Calibri"/>
                <w:sz w:val="18"/>
              </w:rPr>
              <w:t>Agents ohne verantwortliche Person werden schnell zu verwaisten Schattenlösungen.</w:t>
            </w:r>
          </w:p>
        </w:tc>
        <w:tc>
          <w:tcPr>
            <w:tcW w:w="3249" w:type="dxa"/>
          </w:tcPr>
          <w:p w14:paraId="0461AACE" w14:textId="77777777" w:rsidR="00D80E44" w:rsidRDefault="004530DE" w:rsidP="00236AE7">
            <w:pPr>
              <w:spacing w:after="0" w:line="264" w:lineRule="auto"/>
              <w:ind w:left="0"/>
            </w:pPr>
            <w:r>
              <w:rPr>
                <w:rFonts w:cs="Calibri"/>
                <w:sz w:val="18"/>
              </w:rPr>
              <w:t>Eintrag im Agent-Register mit Fach- und IT-Owner.</w:t>
            </w:r>
          </w:p>
        </w:tc>
      </w:tr>
      <w:tr w:rsidR="00D80E44" w14:paraId="21EA8999" w14:textId="77777777">
        <w:trPr>
          <w:cantSplit/>
        </w:trPr>
        <w:tc>
          <w:tcPr>
            <w:tcW w:w="2508" w:type="dxa"/>
          </w:tcPr>
          <w:p w14:paraId="54F6F9A5" w14:textId="77777777" w:rsidR="00D80E44" w:rsidRDefault="004530DE" w:rsidP="00236AE7">
            <w:pPr>
              <w:spacing w:after="0" w:line="264" w:lineRule="auto"/>
              <w:ind w:left="0"/>
            </w:pPr>
            <w:r>
              <w:rPr>
                <w:rFonts w:cs="Calibri"/>
                <w:sz w:val="18"/>
              </w:rPr>
              <w:t>Datenquellen und Berechtigungen</w:t>
            </w:r>
          </w:p>
        </w:tc>
        <w:tc>
          <w:tcPr>
            <w:tcW w:w="4023" w:type="dxa"/>
          </w:tcPr>
          <w:p w14:paraId="21D40E7A" w14:textId="77777777" w:rsidR="00D80E44" w:rsidRDefault="004530DE" w:rsidP="00236AE7">
            <w:pPr>
              <w:spacing w:after="0" w:line="264" w:lineRule="auto"/>
              <w:ind w:left="0"/>
            </w:pPr>
            <w:r>
              <w:rPr>
                <w:rFonts w:cs="Calibri"/>
                <w:sz w:val="18"/>
              </w:rPr>
              <w:t>Ein Agent kann die Reichweite vorhandener Daten praktisch erheblich erhöhen.</w:t>
            </w:r>
          </w:p>
        </w:tc>
        <w:tc>
          <w:tcPr>
            <w:tcW w:w="3249" w:type="dxa"/>
          </w:tcPr>
          <w:p w14:paraId="5F3C287F" w14:textId="77777777" w:rsidR="00D80E44" w:rsidRDefault="004530DE" w:rsidP="00236AE7">
            <w:pPr>
              <w:spacing w:after="0" w:line="264" w:lineRule="auto"/>
              <w:ind w:left="0"/>
            </w:pPr>
            <w:r>
              <w:rPr>
                <w:rFonts w:cs="Calibri"/>
                <w:sz w:val="18"/>
              </w:rPr>
              <w:t>Auflistung der Quellen, Gruppen, Scopes und Berechtigungsprüfung.</w:t>
            </w:r>
          </w:p>
        </w:tc>
      </w:tr>
      <w:tr w:rsidR="00D80E44" w14:paraId="3ABB6F84" w14:textId="77777777">
        <w:trPr>
          <w:cantSplit/>
        </w:trPr>
        <w:tc>
          <w:tcPr>
            <w:tcW w:w="2508" w:type="dxa"/>
          </w:tcPr>
          <w:p w14:paraId="3DAD76EB" w14:textId="77777777" w:rsidR="00D80E44" w:rsidRDefault="004530DE" w:rsidP="00236AE7">
            <w:pPr>
              <w:spacing w:after="0" w:line="264" w:lineRule="auto"/>
              <w:ind w:left="0"/>
            </w:pPr>
            <w:r>
              <w:rPr>
                <w:rFonts w:cs="Calibri"/>
                <w:sz w:val="18"/>
              </w:rPr>
              <w:t>Connector-Sichtbarkeit</w:t>
            </w:r>
          </w:p>
        </w:tc>
        <w:tc>
          <w:tcPr>
            <w:tcW w:w="4023" w:type="dxa"/>
          </w:tcPr>
          <w:p w14:paraId="42B7E206" w14:textId="77777777" w:rsidR="00D80E44" w:rsidRDefault="004530DE" w:rsidP="00236AE7">
            <w:pPr>
              <w:spacing w:after="0" w:line="264" w:lineRule="auto"/>
              <w:ind w:left="0"/>
            </w:pPr>
            <w:r>
              <w:rPr>
                <w:rFonts w:cs="Calibri"/>
                <w:sz w:val="18"/>
              </w:rPr>
              <w:t>Ein Connector kann je nach Berechtigungsmodus Quell-ACLs respektieren oder Inhalte organisationweit auffindbar machen.</w:t>
            </w:r>
          </w:p>
        </w:tc>
        <w:tc>
          <w:tcPr>
            <w:tcW w:w="3249" w:type="dxa"/>
          </w:tcPr>
          <w:p w14:paraId="2366D30D" w14:textId="77777777" w:rsidR="00D80E44" w:rsidRDefault="004530DE" w:rsidP="00236AE7">
            <w:pPr>
              <w:spacing w:after="0" w:line="264" w:lineRule="auto"/>
              <w:ind w:left="0"/>
            </w:pPr>
            <w:r>
              <w:rPr>
                <w:rFonts w:cs="Calibri"/>
                <w:sz w:val="18"/>
              </w:rPr>
              <w:t>Datenquelle, Berechtigungsmodus, Testnutzer, Owner, Freigabe und Reviewdatum.</w:t>
            </w:r>
          </w:p>
        </w:tc>
      </w:tr>
      <w:tr w:rsidR="00D80E44" w:rsidRPr="0025585B" w14:paraId="52EF2955" w14:textId="77777777">
        <w:trPr>
          <w:cantSplit/>
        </w:trPr>
        <w:tc>
          <w:tcPr>
            <w:tcW w:w="2508" w:type="dxa"/>
          </w:tcPr>
          <w:p w14:paraId="43B1F3F8" w14:textId="77777777" w:rsidR="00D80E44" w:rsidRDefault="004530DE" w:rsidP="00236AE7">
            <w:pPr>
              <w:spacing w:after="0" w:line="264" w:lineRule="auto"/>
              <w:ind w:left="0"/>
            </w:pPr>
            <w:r>
              <w:rPr>
                <w:rFonts w:cs="Calibri"/>
                <w:sz w:val="18"/>
              </w:rPr>
              <w:t>Agentenidentität</w:t>
            </w:r>
          </w:p>
        </w:tc>
        <w:tc>
          <w:tcPr>
            <w:tcW w:w="4023" w:type="dxa"/>
          </w:tcPr>
          <w:p w14:paraId="1CE942D8" w14:textId="77777777" w:rsidR="00D80E44" w:rsidRDefault="004530DE" w:rsidP="00236AE7">
            <w:pPr>
              <w:spacing w:after="0" w:line="264" w:lineRule="auto"/>
              <w:ind w:left="0"/>
            </w:pPr>
            <w:r>
              <w:rPr>
                <w:rFonts w:cs="Calibri"/>
                <w:sz w:val="18"/>
              </w:rPr>
              <w:t>Für jeden Copilot-Studio-Agent Identitätstyp (Entra Agent ID oder Legacy-App-Registrierung), Entra-Agent- beziehungsweise Blueprint-ID, Owner, Sponsor, API-/Connector-Scopes, Conditional-Access-Scope, Anmeldeprotokolle und Reviewdatum dokumentieren. Neue Copilot-Studio-Agents erhalten automatisch eine Entra Agent ID; für vorhandene App-Registrierungen keinen In-Place-Migrationspfad unterstellen.</w:t>
            </w:r>
          </w:p>
        </w:tc>
        <w:tc>
          <w:tcPr>
            <w:tcW w:w="3249" w:type="dxa"/>
          </w:tcPr>
          <w:p w14:paraId="3BB61277" w14:textId="77777777" w:rsidR="00D80E44" w:rsidRPr="00D542F3" w:rsidRDefault="004530DE" w:rsidP="00236AE7">
            <w:pPr>
              <w:spacing w:after="0" w:line="264" w:lineRule="auto"/>
              <w:ind w:left="0"/>
              <w:rPr>
                <w:lang w:val="en-US"/>
              </w:rPr>
            </w:pPr>
            <w:r w:rsidRPr="00D542F3">
              <w:rPr>
                <w:rFonts w:cs="Calibri"/>
                <w:sz w:val="18"/>
                <w:lang w:val="en-US"/>
              </w:rPr>
              <w:t>Agent-ID bzw. App-Registrierung, Owner, Sponsor, API-/Connector-Scopes, Sign-in-Log und Conditional-Access-Scope.</w:t>
            </w:r>
          </w:p>
        </w:tc>
      </w:tr>
      <w:tr w:rsidR="00D80E44" w14:paraId="00E778E9" w14:textId="77777777">
        <w:trPr>
          <w:cantSplit/>
        </w:trPr>
        <w:tc>
          <w:tcPr>
            <w:tcW w:w="2508" w:type="dxa"/>
          </w:tcPr>
          <w:p w14:paraId="3C11945F" w14:textId="77777777" w:rsidR="00D80E44" w:rsidRDefault="004530DE" w:rsidP="00236AE7">
            <w:pPr>
              <w:spacing w:after="0" w:line="264" w:lineRule="auto"/>
              <w:ind w:left="0"/>
            </w:pPr>
            <w:r>
              <w:rPr>
                <w:rFonts w:cs="Calibri"/>
                <w:sz w:val="18"/>
              </w:rPr>
              <w:t>Prompt- und Instruktionsschutz</w:t>
            </w:r>
          </w:p>
        </w:tc>
        <w:tc>
          <w:tcPr>
            <w:tcW w:w="4023" w:type="dxa"/>
          </w:tcPr>
          <w:p w14:paraId="0975C8F9" w14:textId="77777777" w:rsidR="00D80E44" w:rsidRDefault="004530DE" w:rsidP="00236AE7">
            <w:pPr>
              <w:spacing w:after="0" w:line="264" w:lineRule="auto"/>
              <w:ind w:left="0"/>
            </w:pPr>
            <w:r>
              <w:rPr>
                <w:rFonts w:cs="Calibri"/>
                <w:sz w:val="18"/>
              </w:rPr>
              <w:t>Externe oder unzuverlässige Inhalte können den Agenten zu unerwünschten Aktionen oder Ausgaben verleiten.</w:t>
            </w:r>
          </w:p>
        </w:tc>
        <w:tc>
          <w:tcPr>
            <w:tcW w:w="3249" w:type="dxa"/>
          </w:tcPr>
          <w:p w14:paraId="06AB9E60" w14:textId="77777777" w:rsidR="00D80E44" w:rsidRDefault="004530DE" w:rsidP="00236AE7">
            <w:pPr>
              <w:spacing w:after="0" w:line="264" w:lineRule="auto"/>
              <w:ind w:left="0"/>
            </w:pPr>
            <w:r>
              <w:rPr>
                <w:rFonts w:cs="Calibri"/>
                <w:sz w:val="18"/>
              </w:rPr>
              <w:t>Systeminstruktionen, Abbruchregeln, Testfälle und Eskalationsweg.</w:t>
            </w:r>
          </w:p>
        </w:tc>
      </w:tr>
      <w:tr w:rsidR="00D80E44" w14:paraId="796A2369" w14:textId="77777777">
        <w:trPr>
          <w:cantSplit/>
        </w:trPr>
        <w:tc>
          <w:tcPr>
            <w:tcW w:w="2508" w:type="dxa"/>
          </w:tcPr>
          <w:p w14:paraId="4B162051" w14:textId="77777777" w:rsidR="00D80E44" w:rsidRDefault="004530DE" w:rsidP="00236AE7">
            <w:pPr>
              <w:spacing w:after="0" w:line="264" w:lineRule="auto"/>
              <w:ind w:left="0"/>
            </w:pPr>
            <w:r>
              <w:rPr>
                <w:rFonts w:cs="Calibri"/>
                <w:sz w:val="18"/>
              </w:rPr>
              <w:t>Produktivsetzung</w:t>
            </w:r>
          </w:p>
        </w:tc>
        <w:tc>
          <w:tcPr>
            <w:tcW w:w="4023" w:type="dxa"/>
          </w:tcPr>
          <w:p w14:paraId="2AE29A92" w14:textId="77777777" w:rsidR="00D80E44" w:rsidRDefault="004530DE" w:rsidP="00236AE7">
            <w:pPr>
              <w:spacing w:after="0" w:line="264" w:lineRule="auto"/>
              <w:ind w:left="0"/>
            </w:pPr>
            <w:r>
              <w:rPr>
                <w:rFonts w:cs="Calibri"/>
                <w:sz w:val="18"/>
              </w:rPr>
              <w:t>Automatisierung und externe Aktionen benötigen strengere Freigabe als ein reiner Entwurfsassistent.</w:t>
            </w:r>
          </w:p>
        </w:tc>
        <w:tc>
          <w:tcPr>
            <w:tcW w:w="3249" w:type="dxa"/>
          </w:tcPr>
          <w:p w14:paraId="52509B7E" w14:textId="77777777" w:rsidR="00D80E44" w:rsidRDefault="004530DE" w:rsidP="00236AE7">
            <w:pPr>
              <w:spacing w:after="0" w:line="264" w:lineRule="auto"/>
              <w:ind w:left="0"/>
            </w:pPr>
            <w:r>
              <w:rPr>
                <w:rFonts w:cs="Calibri"/>
                <w:sz w:val="18"/>
              </w:rPr>
              <w:t>Freigabeprotokoll, Rollback-Plan und Monitoring.</w:t>
            </w:r>
          </w:p>
        </w:tc>
      </w:tr>
      <w:tr w:rsidR="00D80E44" w14:paraId="448BE4C6" w14:textId="77777777">
        <w:trPr>
          <w:cantSplit/>
        </w:trPr>
        <w:tc>
          <w:tcPr>
            <w:tcW w:w="2508" w:type="dxa"/>
          </w:tcPr>
          <w:p w14:paraId="77DD6FE6" w14:textId="77777777" w:rsidR="00D80E44" w:rsidRDefault="004530DE" w:rsidP="00236AE7">
            <w:pPr>
              <w:spacing w:after="0" w:line="264" w:lineRule="auto"/>
              <w:ind w:left="0"/>
            </w:pPr>
            <w:r>
              <w:rPr>
                <w:rFonts w:cs="Calibri"/>
                <w:sz w:val="18"/>
              </w:rPr>
              <w:t>Änderungsmanagement</w:t>
            </w:r>
          </w:p>
        </w:tc>
        <w:tc>
          <w:tcPr>
            <w:tcW w:w="4023" w:type="dxa"/>
          </w:tcPr>
          <w:p w14:paraId="051AB508" w14:textId="77777777" w:rsidR="00D80E44" w:rsidRDefault="004530DE" w:rsidP="00236AE7">
            <w:pPr>
              <w:spacing w:after="0" w:line="264" w:lineRule="auto"/>
              <w:ind w:left="0"/>
            </w:pPr>
            <w:r>
              <w:rPr>
                <w:rFonts w:cs="Calibri"/>
                <w:sz w:val="18"/>
              </w:rPr>
              <w:t>Neue Datenquellen oder Fähigkeiten verändern die Risikolage.</w:t>
            </w:r>
          </w:p>
        </w:tc>
        <w:tc>
          <w:tcPr>
            <w:tcW w:w="3249" w:type="dxa"/>
          </w:tcPr>
          <w:p w14:paraId="6C9FABBA" w14:textId="77777777" w:rsidR="00D80E44" w:rsidRDefault="004530DE" w:rsidP="00236AE7">
            <w:pPr>
              <w:spacing w:after="0" w:line="264" w:lineRule="auto"/>
              <w:ind w:left="0"/>
            </w:pPr>
            <w:r>
              <w:rPr>
                <w:rFonts w:cs="Calibri"/>
                <w:sz w:val="18"/>
              </w:rPr>
              <w:t>Änderungslog und erneute Freigabe bei wesentlicher Änderung.</w:t>
            </w:r>
          </w:p>
        </w:tc>
      </w:tr>
    </w:tbl>
    <w:p w14:paraId="45D4507A" w14:textId="77777777" w:rsidR="00D80E44" w:rsidRDefault="00D80E44">
      <w:pPr>
        <w:spacing w:after="0"/>
      </w:pPr>
    </w:p>
    <w:tbl>
      <w:tblPr>
        <w:tblW w:w="9780" w:type="dxa"/>
        <w:tblInd w:w="120" w:type="dxa"/>
        <w:tblLayout w:type="fixed"/>
        <w:tblLook w:val="04A0" w:firstRow="1" w:lastRow="0" w:firstColumn="1" w:lastColumn="0" w:noHBand="0" w:noVBand="1"/>
      </w:tblPr>
      <w:tblGrid>
        <w:gridCol w:w="9780"/>
      </w:tblGrid>
      <w:tr w:rsidR="00D80E44" w14:paraId="700A69A4" w14:textId="77777777">
        <w:tc>
          <w:tcPr>
            <w:tcW w:w="9780" w:type="dxa"/>
            <w:tcBorders>
              <w:top w:val="single" w:sz="10" w:space="0" w:color="F25022"/>
              <w:left w:val="single" w:sz="10" w:space="0" w:color="F25022"/>
              <w:bottom w:val="single" w:sz="10" w:space="0" w:color="F25022"/>
              <w:right w:val="single" w:sz="10" w:space="0" w:color="F25022"/>
            </w:tcBorders>
            <w:shd w:val="clear" w:color="auto" w:fill="FFF0E9"/>
            <w:tcMar>
              <w:top w:w="80" w:type="dxa"/>
              <w:left w:w="120" w:type="dxa"/>
              <w:bottom w:w="80" w:type="dxa"/>
              <w:right w:w="120" w:type="dxa"/>
            </w:tcMar>
            <w:vAlign w:val="center"/>
          </w:tcPr>
          <w:p w14:paraId="7D203C45" w14:textId="77777777" w:rsidR="00D80E44" w:rsidRDefault="004530DE">
            <w:pPr>
              <w:spacing w:after="60"/>
            </w:pPr>
            <w:r>
              <w:rPr>
                <w:rFonts w:cs="Calibri"/>
                <w:b/>
                <w:color w:val="333333"/>
                <w:sz w:val="21"/>
              </w:rPr>
              <w:t>Praxisimpuls: Agenten-Governance</w:t>
            </w:r>
          </w:p>
          <w:p w14:paraId="58B52F1B" w14:textId="77777777" w:rsidR="00D80E44" w:rsidRDefault="004530DE">
            <w:pPr>
              <w:spacing w:after="100"/>
            </w:pPr>
            <w:r>
              <w:rPr>
                <w:rFonts w:cs="Calibri"/>
                <w:sz w:val="20"/>
              </w:rPr>
              <w:t>Für Verwaltung von KI-Agents, Eigentümern, Berechtigungen, Registry und Anmeldeprotokollen die offizielle Microsoft-Dokumentation nutzen. Sie ersetzt nicht die Prüfung der tatsächlichen Verfügbarkeit und Lizenzierung im jeweiligen Tenant.</w:t>
            </w:r>
          </w:p>
          <w:p w14:paraId="39DD0B61" w14:textId="2459F0F8" w:rsidR="00D80E44" w:rsidRDefault="004530DE">
            <w:pPr>
              <w:spacing w:after="0"/>
            </w:pPr>
            <w:r>
              <w:rPr>
                <w:b/>
              </w:rPr>
              <w:t xml:space="preserve">Weiterführend: </w:t>
            </w:r>
            <w:hyperlink r:id="rId7">
              <w:r w:rsidR="00D80E44">
                <w:rPr>
                  <w:color w:val="0563C1"/>
                  <w:u w:val="single"/>
                </w:rPr>
                <w:t>Microsoft Learn: Entra Agent ID verwalten</w:t>
              </w:r>
            </w:hyperlink>
          </w:p>
        </w:tc>
      </w:tr>
    </w:tbl>
    <w:p w14:paraId="5A83BDE0" w14:textId="77777777" w:rsidR="00D80E44" w:rsidRDefault="00D80E44">
      <w:pPr>
        <w:spacing w:after="0"/>
      </w:pPr>
    </w:p>
    <w:p w14:paraId="5A661824" w14:textId="77777777" w:rsidR="00D542F3" w:rsidRDefault="00D542F3">
      <w:pPr>
        <w:tabs>
          <w:tab w:val="clear" w:pos="9780"/>
        </w:tabs>
        <w:spacing w:after="200" w:line="276" w:lineRule="auto"/>
        <w:ind w:left="0"/>
        <w:rPr>
          <w:rFonts w:cs="Calibri"/>
          <w:b/>
          <w:color w:val="F25022"/>
          <w:sz w:val="36"/>
          <w:szCs w:val="36"/>
        </w:rPr>
      </w:pPr>
      <w:r>
        <w:rPr>
          <w:rFonts w:cs="Calibri"/>
        </w:rPr>
        <w:br w:type="page"/>
      </w:r>
    </w:p>
    <w:p w14:paraId="0B18199D" w14:textId="5AE9E795" w:rsidR="00D80E44" w:rsidRDefault="004530DE">
      <w:pPr>
        <w:pStyle w:val="berschrift1"/>
      </w:pPr>
      <w:bookmarkStart w:id="16" w:name="_Toc236813382"/>
      <w:r>
        <w:rPr>
          <w:rFonts w:cs="Calibri"/>
        </w:rPr>
        <w:t>Muster einer internen KI-Nutzungsleitlinie</w:t>
      </w:r>
      <w:bookmarkEnd w:id="16"/>
    </w:p>
    <w:p w14:paraId="369B4A57" w14:textId="77777777" w:rsidR="00D80E44" w:rsidRDefault="004530DE">
      <w:r>
        <w:rPr>
          <w:rFonts w:cs="Calibri"/>
        </w:rPr>
        <w:t>Die folgenden Formulierungen können als Kern einer unternehmensinternen Leitlinie übernommen und an die eigene Organisation, Betriebsvereinbarung, Datenschutzdokumentation und Lizenzsituation angepasst werden.</w:t>
      </w:r>
    </w:p>
    <w:p w14:paraId="7E7FCF2F" w14:textId="711383C4" w:rsidR="00D80E44" w:rsidRDefault="004530DE" w:rsidP="00D542F3">
      <w:pPr>
        <w:pStyle w:val="berschrift2"/>
      </w:pPr>
      <w:bookmarkStart w:id="17" w:name="_Toc236813383"/>
      <w:r>
        <w:t>Zweck und Geltungsbereich</w:t>
      </w:r>
      <w:bookmarkEnd w:id="17"/>
    </w:p>
    <w:p w14:paraId="083C2747" w14:textId="77777777" w:rsidR="00D80E44" w:rsidRDefault="004530DE">
      <w:r>
        <w:rPr>
          <w:rFonts w:cs="Calibri"/>
        </w:rPr>
        <w:t>Das Unternehmen nutzt freigegebene KI-Systeme, insbesondere Microsoft 365 Copilot, zur Unterstützung von Arbeitsprozessen. Diese Leitlinie gilt für alle Beschäftigten, Auftragnehmenden und sonstigen Personen, die KI-Systeme im Auftrag des Unternehmens nutzen. Sie ergänzt bestehende Regelungen zu Informationssicherheit, Datenschutz, Geheimhaltung, Arbeitsrecht und Qualitätsmanagement.</w:t>
      </w:r>
    </w:p>
    <w:p w14:paraId="06BB832C" w14:textId="029D6627" w:rsidR="00D80E44" w:rsidRDefault="004530DE" w:rsidP="00D542F3">
      <w:pPr>
        <w:pStyle w:val="berschrift2"/>
      </w:pPr>
      <w:bookmarkStart w:id="18" w:name="_Toc236813384"/>
      <w:r>
        <w:t>Grundsätze</w:t>
      </w:r>
      <w:bookmarkEnd w:id="18"/>
    </w:p>
    <w:p w14:paraId="62A3E12F" w14:textId="77777777" w:rsidR="00D80E44" w:rsidRDefault="004530DE">
      <w:pPr>
        <w:pStyle w:val="Listenabsatz"/>
        <w:ind w:left="720" w:hanging="360"/>
      </w:pPr>
      <w:r>
        <w:rPr>
          <w:rFonts w:cs="Calibri"/>
        </w:rPr>
        <w:t>Menschen verantworten die Arbeitsergebnisse. KI-Ausgaben werden fachlich geprüft, bevor sie verwendet, veröffentlicht oder zur Entscheidung herangezogen werden.</w:t>
      </w:r>
    </w:p>
    <w:p w14:paraId="4402BCBD" w14:textId="77777777" w:rsidR="00D80E44" w:rsidRDefault="004530DE">
      <w:pPr>
        <w:pStyle w:val="Listenabsatz"/>
        <w:ind w:left="720" w:hanging="360"/>
      </w:pPr>
      <w:r>
        <w:rPr>
          <w:rFonts w:cs="Calibri"/>
        </w:rPr>
        <w:t>Nur freigegebene KI-Systeme und freigegebene Datenquellen dürfen für Unternehmenszwecke eingesetzt werden.</w:t>
      </w:r>
    </w:p>
    <w:p w14:paraId="380F7162" w14:textId="77777777" w:rsidR="00D80E44" w:rsidRDefault="004530DE">
      <w:pPr>
        <w:pStyle w:val="Listenabsatz"/>
        <w:ind w:left="720" w:hanging="360"/>
      </w:pPr>
      <w:r>
        <w:rPr>
          <w:rFonts w:cs="Calibri"/>
        </w:rPr>
        <w:t>Eingaben werden auf das notwendige Maß beschränkt. Vertraulichkeitsstufe, Zweckbindung und Rechte Dritter sind vor der Eingabe zu beachten.</w:t>
      </w:r>
    </w:p>
    <w:p w14:paraId="437D8475" w14:textId="77777777" w:rsidR="00D80E44" w:rsidRDefault="004530DE">
      <w:pPr>
        <w:pStyle w:val="Listenabsatz"/>
        <w:ind w:left="720" w:hanging="360"/>
      </w:pPr>
      <w:r>
        <w:rPr>
          <w:rFonts w:cs="Calibri"/>
        </w:rPr>
        <w:t>Bei Unsicherheit wird nicht experimentiert, sondern die benannte Ansprechstelle eingebunden.</w:t>
      </w:r>
    </w:p>
    <w:p w14:paraId="414F5DC3" w14:textId="7C240902" w:rsidR="00D80E44" w:rsidRDefault="004530DE" w:rsidP="00D542F3">
      <w:pPr>
        <w:pStyle w:val="berschrift2"/>
      </w:pPr>
      <w:bookmarkStart w:id="19" w:name="_Toc236813385"/>
      <w:r>
        <w:t>Zulässige Nutzung</w:t>
      </w:r>
      <w:bookmarkEnd w:id="19"/>
    </w:p>
    <w:tbl>
      <w:tblPr>
        <w:tblW w:w="9780" w:type="dxa"/>
        <w:tblInd w:w="120" w:type="dxa"/>
        <w:tblLayout w:type="fixed"/>
        <w:tblLook w:val="04A0" w:firstRow="1" w:lastRow="0" w:firstColumn="1" w:lastColumn="0" w:noHBand="0" w:noVBand="1"/>
      </w:tblPr>
      <w:tblGrid>
        <w:gridCol w:w="1985"/>
        <w:gridCol w:w="3897"/>
        <w:gridCol w:w="3898"/>
      </w:tblGrid>
      <w:tr w:rsidR="00D80E44" w14:paraId="250A7E26" w14:textId="77777777">
        <w:trPr>
          <w:cantSplit/>
          <w:tblHeader/>
        </w:trPr>
        <w:tc>
          <w:tcPr>
            <w:tcW w:w="1985"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1CCCD2D7" w14:textId="77777777" w:rsidR="00D80E44" w:rsidRDefault="004530DE" w:rsidP="00236AE7">
            <w:pPr>
              <w:ind w:left="0"/>
            </w:pPr>
            <w:r>
              <w:rPr>
                <w:rFonts w:cs="Calibri"/>
                <w:b/>
                <w:color w:val="333333"/>
                <w:sz w:val="19"/>
              </w:rPr>
              <w:t>Kategorie</w:t>
            </w:r>
          </w:p>
        </w:tc>
        <w:tc>
          <w:tcPr>
            <w:tcW w:w="3897"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78C14324" w14:textId="77777777" w:rsidR="00D80E44" w:rsidRDefault="004530DE" w:rsidP="00236AE7">
            <w:pPr>
              <w:ind w:left="0"/>
            </w:pPr>
            <w:r>
              <w:rPr>
                <w:rFonts w:cs="Calibri"/>
                <w:b/>
                <w:color w:val="333333"/>
                <w:sz w:val="19"/>
              </w:rPr>
              <w:t>Zulässig ohne Einzelfreigabe</w:t>
            </w:r>
          </w:p>
        </w:tc>
        <w:tc>
          <w:tcPr>
            <w:tcW w:w="3898"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2939AF65" w14:textId="77777777" w:rsidR="00D80E44" w:rsidRDefault="004530DE" w:rsidP="00236AE7">
            <w:pPr>
              <w:ind w:left="0"/>
            </w:pPr>
            <w:r>
              <w:rPr>
                <w:rFonts w:cs="Calibri"/>
                <w:b/>
                <w:color w:val="333333"/>
                <w:sz w:val="19"/>
              </w:rPr>
              <w:t>Nur nach zusätzlicher Freigabe</w:t>
            </w:r>
          </w:p>
        </w:tc>
      </w:tr>
      <w:tr w:rsidR="00D80E44" w14:paraId="10F00720" w14:textId="77777777">
        <w:trPr>
          <w:cantSplit/>
        </w:trPr>
        <w:tc>
          <w:tcPr>
            <w:tcW w:w="1985" w:type="dxa"/>
          </w:tcPr>
          <w:p w14:paraId="1E964416" w14:textId="77777777" w:rsidR="00D80E44" w:rsidRDefault="004530DE" w:rsidP="00236AE7">
            <w:pPr>
              <w:spacing w:after="0" w:line="264" w:lineRule="auto"/>
              <w:ind w:left="0"/>
            </w:pPr>
            <w:r>
              <w:rPr>
                <w:rFonts w:cs="Calibri"/>
                <w:sz w:val="18"/>
              </w:rPr>
              <w:t>Texte und Kommunikation</w:t>
            </w:r>
          </w:p>
        </w:tc>
        <w:tc>
          <w:tcPr>
            <w:tcW w:w="3897" w:type="dxa"/>
          </w:tcPr>
          <w:p w14:paraId="05BEB006" w14:textId="77777777" w:rsidR="00D80E44" w:rsidRDefault="004530DE" w:rsidP="00236AE7">
            <w:pPr>
              <w:spacing w:after="0" w:line="264" w:lineRule="auto"/>
              <w:ind w:left="0"/>
            </w:pPr>
            <w:r>
              <w:rPr>
                <w:rFonts w:cs="Calibri"/>
                <w:sz w:val="18"/>
              </w:rPr>
              <w:t>Entwürfe, Zusammenfassungen, Übersetzungen, Strukturvorschläge und sprachliche Überarbeitung nicht vertraulicher Inhalte.</w:t>
            </w:r>
          </w:p>
        </w:tc>
        <w:tc>
          <w:tcPr>
            <w:tcW w:w="3898" w:type="dxa"/>
          </w:tcPr>
          <w:p w14:paraId="7F739A36" w14:textId="77777777" w:rsidR="00D80E44" w:rsidRDefault="004530DE" w:rsidP="00236AE7">
            <w:pPr>
              <w:spacing w:after="0" w:line="264" w:lineRule="auto"/>
              <w:ind w:left="0"/>
            </w:pPr>
            <w:r>
              <w:rPr>
                <w:rFonts w:cs="Calibri"/>
                <w:sz w:val="18"/>
              </w:rPr>
              <w:t>Öffentliche Informationen zu Themen von öffentlichem Interesse, wenn keine nachweisbare redaktionelle Kontrolle besteht.</w:t>
            </w:r>
          </w:p>
        </w:tc>
      </w:tr>
      <w:tr w:rsidR="00D80E44" w14:paraId="702DD80F" w14:textId="77777777">
        <w:trPr>
          <w:cantSplit/>
        </w:trPr>
        <w:tc>
          <w:tcPr>
            <w:tcW w:w="1985" w:type="dxa"/>
          </w:tcPr>
          <w:p w14:paraId="634E13B1" w14:textId="77777777" w:rsidR="00D80E44" w:rsidRDefault="004530DE" w:rsidP="00236AE7">
            <w:pPr>
              <w:spacing w:after="0" w:line="264" w:lineRule="auto"/>
              <w:ind w:left="0"/>
            </w:pPr>
            <w:r>
              <w:rPr>
                <w:rFonts w:cs="Calibri"/>
                <w:sz w:val="18"/>
              </w:rPr>
              <w:t>Wissen und Analyse</w:t>
            </w:r>
          </w:p>
        </w:tc>
        <w:tc>
          <w:tcPr>
            <w:tcW w:w="3897" w:type="dxa"/>
          </w:tcPr>
          <w:p w14:paraId="45564890" w14:textId="77777777" w:rsidR="00D80E44" w:rsidRDefault="004530DE" w:rsidP="00236AE7">
            <w:pPr>
              <w:spacing w:after="0" w:line="264" w:lineRule="auto"/>
              <w:ind w:left="0"/>
            </w:pPr>
            <w:r>
              <w:rPr>
                <w:rFonts w:cs="Calibri"/>
                <w:sz w:val="18"/>
              </w:rPr>
              <w:t>Zusammenfassungen eigener, berechtigter Dokumente und vorbereitende Analysen mit fachlicher Prüfung.</w:t>
            </w:r>
          </w:p>
        </w:tc>
        <w:tc>
          <w:tcPr>
            <w:tcW w:w="3898" w:type="dxa"/>
          </w:tcPr>
          <w:p w14:paraId="1A2A9F4C" w14:textId="77777777" w:rsidR="00D80E44" w:rsidRDefault="004530DE" w:rsidP="00236AE7">
            <w:pPr>
              <w:spacing w:after="0" w:line="264" w:lineRule="auto"/>
              <w:ind w:left="0"/>
            </w:pPr>
            <w:r>
              <w:rPr>
                <w:rFonts w:cs="Calibri"/>
                <w:sz w:val="18"/>
              </w:rPr>
              <w:t>Entscheidungsunterstützung mit erheblichen Auswirkungen auf Personen, z. B. HR, Bildung, Kredit, Leistung oder Zugang.</w:t>
            </w:r>
          </w:p>
        </w:tc>
      </w:tr>
      <w:tr w:rsidR="00D80E44" w14:paraId="4191E796" w14:textId="77777777">
        <w:trPr>
          <w:cantSplit/>
        </w:trPr>
        <w:tc>
          <w:tcPr>
            <w:tcW w:w="1985" w:type="dxa"/>
          </w:tcPr>
          <w:p w14:paraId="29C6B328" w14:textId="77777777" w:rsidR="00D80E44" w:rsidRDefault="004530DE" w:rsidP="00236AE7">
            <w:pPr>
              <w:spacing w:after="0" w:line="264" w:lineRule="auto"/>
              <w:ind w:left="0"/>
            </w:pPr>
            <w:r>
              <w:rPr>
                <w:rFonts w:cs="Calibri"/>
                <w:sz w:val="18"/>
              </w:rPr>
              <w:t>Code und Automatisierung</w:t>
            </w:r>
          </w:p>
        </w:tc>
        <w:tc>
          <w:tcPr>
            <w:tcW w:w="3897" w:type="dxa"/>
          </w:tcPr>
          <w:p w14:paraId="46D3DB2D" w14:textId="77777777" w:rsidR="00D80E44" w:rsidRDefault="004530DE" w:rsidP="00236AE7">
            <w:pPr>
              <w:spacing w:after="0" w:line="264" w:lineRule="auto"/>
              <w:ind w:left="0"/>
            </w:pPr>
            <w:r>
              <w:rPr>
                <w:rFonts w:cs="Calibri"/>
                <w:sz w:val="18"/>
              </w:rPr>
              <w:t>Ideen, Erklärungen, Testfälle und Codeentwürfe unter Review durch zuständige Fachpersonen.</w:t>
            </w:r>
          </w:p>
        </w:tc>
        <w:tc>
          <w:tcPr>
            <w:tcW w:w="3898" w:type="dxa"/>
          </w:tcPr>
          <w:p w14:paraId="488C186D" w14:textId="77777777" w:rsidR="00D80E44" w:rsidRDefault="004530DE" w:rsidP="00236AE7">
            <w:pPr>
              <w:spacing w:after="0" w:line="264" w:lineRule="auto"/>
              <w:ind w:left="0"/>
            </w:pPr>
            <w:r>
              <w:rPr>
                <w:rFonts w:cs="Calibri"/>
                <w:sz w:val="18"/>
              </w:rPr>
              <w:t>Produktive Automatisierungen, Agents, Connectoren oder Workflows mit Zugriff auf Unternehmens- oder Kundendaten.</w:t>
            </w:r>
          </w:p>
        </w:tc>
      </w:tr>
      <w:tr w:rsidR="00D80E44" w14:paraId="0FD1FFE0" w14:textId="77777777">
        <w:trPr>
          <w:cantSplit/>
        </w:trPr>
        <w:tc>
          <w:tcPr>
            <w:tcW w:w="1985" w:type="dxa"/>
          </w:tcPr>
          <w:p w14:paraId="156E451B" w14:textId="77777777" w:rsidR="00D80E44" w:rsidRDefault="004530DE" w:rsidP="00236AE7">
            <w:pPr>
              <w:spacing w:after="0" w:line="264" w:lineRule="auto"/>
              <w:ind w:left="0"/>
            </w:pPr>
            <w:r>
              <w:rPr>
                <w:rFonts w:cs="Calibri"/>
                <w:sz w:val="18"/>
              </w:rPr>
              <w:t>Bilder, Audio und Video</w:t>
            </w:r>
          </w:p>
        </w:tc>
        <w:tc>
          <w:tcPr>
            <w:tcW w:w="3897" w:type="dxa"/>
          </w:tcPr>
          <w:p w14:paraId="425DC798" w14:textId="77777777" w:rsidR="00D80E44" w:rsidRDefault="004530DE" w:rsidP="00236AE7">
            <w:pPr>
              <w:spacing w:after="0" w:line="264" w:lineRule="auto"/>
              <w:ind w:left="0"/>
            </w:pPr>
            <w:r>
              <w:rPr>
                <w:rFonts w:cs="Calibri"/>
                <w:sz w:val="18"/>
              </w:rPr>
              <w:t>Ideen, interne Entwürfe und nicht täuschende Visualisierungen mit Rechteeinordnung.</w:t>
            </w:r>
          </w:p>
        </w:tc>
        <w:tc>
          <w:tcPr>
            <w:tcW w:w="3898" w:type="dxa"/>
          </w:tcPr>
          <w:p w14:paraId="22BEE132" w14:textId="77777777" w:rsidR="00D80E44" w:rsidRDefault="004530DE" w:rsidP="00236AE7">
            <w:pPr>
              <w:spacing w:after="0" w:line="264" w:lineRule="auto"/>
              <w:ind w:left="0"/>
            </w:pPr>
            <w:r>
              <w:rPr>
                <w:rFonts w:cs="Calibri"/>
                <w:sz w:val="18"/>
              </w:rPr>
              <w:t>Täuschend echte oder öffentlich veröffentlichte synthetische Inhalte; Deepfake-Prüfung und Kennzeichnung.</w:t>
            </w:r>
          </w:p>
        </w:tc>
      </w:tr>
    </w:tbl>
    <w:p w14:paraId="0651FD82" w14:textId="77777777" w:rsidR="00D80E44" w:rsidRDefault="00D80E44">
      <w:pPr>
        <w:spacing w:after="0"/>
      </w:pPr>
    </w:p>
    <w:p w14:paraId="1277227F" w14:textId="2C351816" w:rsidR="00D80E44" w:rsidRDefault="004530DE" w:rsidP="00D542F3">
      <w:pPr>
        <w:pStyle w:val="berschrift2"/>
      </w:pPr>
      <w:bookmarkStart w:id="20" w:name="_Toc236813386"/>
      <w:r>
        <w:t>Nicht zulässige Nutzung</w:t>
      </w:r>
      <w:bookmarkEnd w:id="20"/>
    </w:p>
    <w:p w14:paraId="7F731370" w14:textId="77777777" w:rsidR="00D80E44" w:rsidRDefault="004530DE">
      <w:pPr>
        <w:pStyle w:val="Listenabsatz"/>
        <w:ind w:left="720" w:hanging="360"/>
      </w:pPr>
      <w:r>
        <w:rPr>
          <w:rFonts w:cs="Calibri"/>
        </w:rPr>
        <w:t>Eingabe von Passwörtern, geheimen Schlüsseln, Zugangstoken oder vergleichbaren Sicherheitsinformationen.</w:t>
      </w:r>
    </w:p>
    <w:p w14:paraId="7CBD9D74" w14:textId="77777777" w:rsidR="00D80E44" w:rsidRDefault="004530DE">
      <w:pPr>
        <w:pStyle w:val="Listenabsatz"/>
        <w:ind w:left="720" w:hanging="360"/>
      </w:pPr>
      <w:r>
        <w:rPr>
          <w:rFonts w:cs="Calibri"/>
        </w:rPr>
        <w:t>Eingabe personenbezogener Daten, Gesundheitsdaten, Personalakten, vertraulicher Kundendaten oder Geschäftsgeheimnisse außerhalb des ausdrücklich geprüften und freigegebenen Einsatzfalls.</w:t>
      </w:r>
    </w:p>
    <w:p w14:paraId="114E6F64" w14:textId="77777777" w:rsidR="00D80E44" w:rsidRDefault="004530DE">
      <w:pPr>
        <w:pStyle w:val="Listenabsatz"/>
        <w:ind w:left="720" w:hanging="360"/>
      </w:pPr>
      <w:r>
        <w:rPr>
          <w:rFonts w:cs="Calibri"/>
        </w:rPr>
        <w:t>Verwendung für Emotionserkennung am Arbeitsplatz, biometrische Kategorisierung, manipulative Zwecke oder unzulässige Leistungs- bzw. Verhaltensüberwachung.</w:t>
      </w:r>
    </w:p>
    <w:p w14:paraId="091419BC" w14:textId="77777777" w:rsidR="00D80E44" w:rsidRDefault="004530DE">
      <w:pPr>
        <w:pStyle w:val="Listenabsatz"/>
        <w:ind w:left="720" w:hanging="360"/>
      </w:pPr>
      <w:r>
        <w:rPr>
          <w:rFonts w:cs="Calibri"/>
        </w:rPr>
        <w:t>Automatisierte Entscheidungen mit wesentlichen Auswirkungen auf Personen ohne genehmigten Prozess und qualifizierte menschliche Verantwortung.</w:t>
      </w:r>
    </w:p>
    <w:p w14:paraId="632C02EF" w14:textId="77777777" w:rsidR="00D80E44" w:rsidRDefault="004530DE">
      <w:pPr>
        <w:pStyle w:val="Listenabsatz"/>
        <w:ind w:left="720" w:hanging="360"/>
      </w:pPr>
      <w:r>
        <w:rPr>
          <w:rFonts w:cs="Calibri"/>
        </w:rPr>
        <w:t>Umgehung von Berechtigungen, Sicherheitskontrollen, Freigaben oder Lizenzbedingungen.</w:t>
      </w:r>
    </w:p>
    <w:p w14:paraId="2A796929" w14:textId="1359C9AF" w:rsidR="00D80E44" w:rsidRDefault="004530DE" w:rsidP="00D542F3">
      <w:pPr>
        <w:pStyle w:val="berschrift2"/>
      </w:pPr>
      <w:bookmarkStart w:id="21" w:name="_Toc236813387"/>
      <w:r>
        <w:t>Prompt- und Qualitätsregeln</w:t>
      </w:r>
      <w:bookmarkEnd w:id="21"/>
    </w:p>
    <w:tbl>
      <w:tblPr>
        <w:tblW w:w="9780" w:type="dxa"/>
        <w:tblInd w:w="120" w:type="dxa"/>
        <w:tblLayout w:type="fixed"/>
        <w:tblLook w:val="04A0" w:firstRow="1" w:lastRow="0" w:firstColumn="1" w:lastColumn="0" w:noHBand="0" w:noVBand="1"/>
      </w:tblPr>
      <w:tblGrid>
        <w:gridCol w:w="4890"/>
        <w:gridCol w:w="4890"/>
      </w:tblGrid>
      <w:tr w:rsidR="00D80E44" w14:paraId="3731CF16" w14:textId="77777777">
        <w:trPr>
          <w:cantSplit/>
          <w:tblHeader/>
        </w:trPr>
        <w:tc>
          <w:tcPr>
            <w:tcW w:w="4890"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0EC417AC" w14:textId="77777777" w:rsidR="00D80E44" w:rsidRDefault="004530DE" w:rsidP="00236AE7">
            <w:pPr>
              <w:ind w:left="0"/>
            </w:pPr>
            <w:r>
              <w:rPr>
                <w:rFonts w:cs="Calibri"/>
                <w:b/>
                <w:color w:val="333333"/>
                <w:sz w:val="19"/>
              </w:rPr>
              <w:t>Do</w:t>
            </w:r>
          </w:p>
        </w:tc>
        <w:tc>
          <w:tcPr>
            <w:tcW w:w="4890"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13CCE9CB" w14:textId="77777777" w:rsidR="00D80E44" w:rsidRDefault="004530DE" w:rsidP="00236AE7">
            <w:pPr>
              <w:ind w:left="0"/>
            </w:pPr>
            <w:r>
              <w:rPr>
                <w:rFonts w:cs="Calibri"/>
                <w:b/>
                <w:color w:val="333333"/>
                <w:sz w:val="19"/>
              </w:rPr>
              <w:t>Don't</w:t>
            </w:r>
          </w:p>
        </w:tc>
      </w:tr>
      <w:tr w:rsidR="00D80E44" w14:paraId="10A7061E" w14:textId="77777777">
        <w:trPr>
          <w:cantSplit/>
        </w:trPr>
        <w:tc>
          <w:tcPr>
            <w:tcW w:w="4890" w:type="dxa"/>
          </w:tcPr>
          <w:p w14:paraId="0CE25DA1" w14:textId="77777777" w:rsidR="00D80E44" w:rsidRDefault="004530DE" w:rsidP="00236AE7">
            <w:pPr>
              <w:spacing w:after="0" w:line="264" w:lineRule="auto"/>
              <w:ind w:left="0"/>
            </w:pPr>
            <w:r>
              <w:rPr>
                <w:rFonts w:cs="Calibri"/>
                <w:sz w:val="18"/>
              </w:rPr>
              <w:t>Aufgabe, Zielgruppe, Kontext und gewünschtes Ergebnis präzise beschreiben.</w:t>
            </w:r>
          </w:p>
        </w:tc>
        <w:tc>
          <w:tcPr>
            <w:tcW w:w="4890" w:type="dxa"/>
          </w:tcPr>
          <w:p w14:paraId="632EACC6" w14:textId="77777777" w:rsidR="00D80E44" w:rsidRDefault="004530DE" w:rsidP="00236AE7">
            <w:pPr>
              <w:spacing w:after="0" w:line="264" w:lineRule="auto"/>
              <w:ind w:left="0"/>
            </w:pPr>
            <w:r>
              <w:rPr>
                <w:rFonts w:cs="Calibri"/>
                <w:sz w:val="18"/>
              </w:rPr>
              <w:t>Ungeprüfte Ausgabe als Fakt, Rechtsrat, Vertragstext oder veröffentlichungsreifes Ergebnis übernehmen.</w:t>
            </w:r>
          </w:p>
        </w:tc>
      </w:tr>
      <w:tr w:rsidR="00D80E44" w14:paraId="137B5849" w14:textId="77777777">
        <w:trPr>
          <w:cantSplit/>
        </w:trPr>
        <w:tc>
          <w:tcPr>
            <w:tcW w:w="4890" w:type="dxa"/>
          </w:tcPr>
          <w:p w14:paraId="72A26CBC" w14:textId="77777777" w:rsidR="00D80E44" w:rsidRDefault="004530DE" w:rsidP="00236AE7">
            <w:pPr>
              <w:spacing w:after="0" w:line="264" w:lineRule="auto"/>
              <w:ind w:left="0"/>
            </w:pPr>
            <w:r>
              <w:rPr>
                <w:rFonts w:cs="Calibri"/>
                <w:sz w:val="18"/>
              </w:rPr>
              <w:t>Nur notwendige Informationen bereitstellen und sensible Daten anonymisieren oder weglassen.</w:t>
            </w:r>
          </w:p>
        </w:tc>
        <w:tc>
          <w:tcPr>
            <w:tcW w:w="4890" w:type="dxa"/>
          </w:tcPr>
          <w:p w14:paraId="5C325F35" w14:textId="77777777" w:rsidR="00D80E44" w:rsidRDefault="004530DE" w:rsidP="00236AE7">
            <w:pPr>
              <w:spacing w:after="0" w:line="264" w:lineRule="auto"/>
              <w:ind w:left="0"/>
            </w:pPr>
            <w:r>
              <w:rPr>
                <w:rFonts w:cs="Calibri"/>
                <w:sz w:val="18"/>
              </w:rPr>
              <w:t>Passwörter, Schlüssel, personenbezogene Daten oder nicht freigegebene Kundendaten in Prompts einfügen.</w:t>
            </w:r>
          </w:p>
        </w:tc>
      </w:tr>
      <w:tr w:rsidR="00D80E44" w14:paraId="4AEB1DB8" w14:textId="77777777">
        <w:trPr>
          <w:cantSplit/>
        </w:trPr>
        <w:tc>
          <w:tcPr>
            <w:tcW w:w="4890" w:type="dxa"/>
          </w:tcPr>
          <w:p w14:paraId="7DF6AECC" w14:textId="77777777" w:rsidR="00D80E44" w:rsidRDefault="004530DE" w:rsidP="00236AE7">
            <w:pPr>
              <w:spacing w:after="0" w:line="264" w:lineRule="auto"/>
              <w:ind w:left="0"/>
            </w:pPr>
            <w:r>
              <w:rPr>
                <w:rFonts w:cs="Calibri"/>
                <w:sz w:val="18"/>
              </w:rPr>
              <w:t>Ergebnisse gegen Quellen, Zahlen, fachliche Logik und Rechte Dritter prüfen.</w:t>
            </w:r>
          </w:p>
        </w:tc>
        <w:tc>
          <w:tcPr>
            <w:tcW w:w="4890" w:type="dxa"/>
          </w:tcPr>
          <w:p w14:paraId="7B9CD6D8" w14:textId="77777777" w:rsidR="00D80E44" w:rsidRDefault="004530DE" w:rsidP="00236AE7">
            <w:pPr>
              <w:spacing w:after="0" w:line="264" w:lineRule="auto"/>
              <w:ind w:left="0"/>
            </w:pPr>
            <w:r>
              <w:rPr>
                <w:rFonts w:cs="Calibri"/>
                <w:sz w:val="18"/>
              </w:rPr>
              <w:t>Zitate, Quellen, rechtliche Aussagen oder vermeintliche Fakten ohne Kontrolle weiterverwenden.</w:t>
            </w:r>
          </w:p>
        </w:tc>
      </w:tr>
      <w:tr w:rsidR="00D80E44" w14:paraId="4961F7B0" w14:textId="77777777">
        <w:trPr>
          <w:cantSplit/>
        </w:trPr>
        <w:tc>
          <w:tcPr>
            <w:tcW w:w="4890" w:type="dxa"/>
          </w:tcPr>
          <w:p w14:paraId="38E0026C" w14:textId="77777777" w:rsidR="00D80E44" w:rsidRDefault="004530DE" w:rsidP="00236AE7">
            <w:pPr>
              <w:spacing w:after="0" w:line="264" w:lineRule="auto"/>
              <w:ind w:left="0"/>
            </w:pPr>
            <w:r>
              <w:rPr>
                <w:rFonts w:cs="Calibri"/>
                <w:sz w:val="18"/>
              </w:rPr>
              <w:t>Bei Risiko, Unsicherheit oder ungewöhnlichem Ergebnis eskalieren.</w:t>
            </w:r>
          </w:p>
        </w:tc>
        <w:tc>
          <w:tcPr>
            <w:tcW w:w="4890" w:type="dxa"/>
          </w:tcPr>
          <w:p w14:paraId="04C9B644" w14:textId="77777777" w:rsidR="00D80E44" w:rsidRDefault="004530DE" w:rsidP="00236AE7">
            <w:pPr>
              <w:spacing w:after="0" w:line="264" w:lineRule="auto"/>
              <w:ind w:left="0"/>
            </w:pPr>
            <w:r>
              <w:rPr>
                <w:rFonts w:cs="Calibri"/>
                <w:sz w:val="18"/>
              </w:rPr>
              <w:t>Freigegebene Datenquellen, Labels, DLP oder Berechtigungen umgehen.</w:t>
            </w:r>
          </w:p>
        </w:tc>
      </w:tr>
    </w:tbl>
    <w:p w14:paraId="4E68027D" w14:textId="77777777" w:rsidR="00D80E44" w:rsidRDefault="00D80E44">
      <w:pPr>
        <w:spacing w:after="0"/>
      </w:pPr>
    </w:p>
    <w:p w14:paraId="6C6EB2CB" w14:textId="77777777" w:rsidR="00D542F3" w:rsidRDefault="00D542F3">
      <w:pPr>
        <w:tabs>
          <w:tab w:val="clear" w:pos="9780"/>
        </w:tabs>
        <w:spacing w:after="200" w:line="276" w:lineRule="auto"/>
        <w:ind w:left="0"/>
        <w:rPr>
          <w:rFonts w:cs="Calibri"/>
          <w:b/>
          <w:color w:val="F25022"/>
          <w:sz w:val="36"/>
          <w:szCs w:val="36"/>
        </w:rPr>
      </w:pPr>
      <w:r>
        <w:rPr>
          <w:rFonts w:cs="Calibri"/>
        </w:rPr>
        <w:br w:type="page"/>
      </w:r>
    </w:p>
    <w:p w14:paraId="0734504D" w14:textId="19B91531" w:rsidR="00D80E44" w:rsidRDefault="004530DE">
      <w:pPr>
        <w:pStyle w:val="berschrift1"/>
      </w:pPr>
      <w:bookmarkStart w:id="22" w:name="_Toc236813388"/>
      <w:r>
        <w:rPr>
          <w:rFonts w:cs="Calibri"/>
        </w:rPr>
        <w:t>Technische und datenschutzrechtliche Readiness</w:t>
      </w:r>
      <w:bookmarkEnd w:id="22"/>
    </w:p>
    <w:p w14:paraId="7CF95A1C" w14:textId="77777777" w:rsidR="00D80E44" w:rsidRDefault="004530DE">
      <w:r>
        <w:t>Dieser Abschnitt operationalisiert den Überblick aus Abschnitt 3.2 in prüfbare Voraussetzungen. Die Reihenfolge ist bewusst praktisch: erst die Daten- und Zugriffsrealität verstehen, dann Schutzmaßnahmen testen und anschließend den Pilot nur innerhalb eines dokumentierten Rahmens freigeben. Eine Lizenzierung ist kein Ersatz für diese Prüfung.</w:t>
      </w:r>
    </w:p>
    <w:p w14:paraId="0502D099" w14:textId="7E5EDDCD" w:rsidR="00D80E44" w:rsidRDefault="004530DE" w:rsidP="00D542F3">
      <w:pPr>
        <w:pStyle w:val="berschrift2"/>
      </w:pPr>
      <w:bookmarkStart w:id="23" w:name="_Toc236813389"/>
      <w:r>
        <w:t>Kontrollbereiche vor der Pilotfreigabe</w:t>
      </w:r>
      <w:bookmarkEnd w:id="23"/>
    </w:p>
    <w:tbl>
      <w:tblPr>
        <w:tblW w:w="9780" w:type="dxa"/>
        <w:tblInd w:w="120" w:type="dxa"/>
        <w:tblLayout w:type="fixed"/>
        <w:tblLook w:val="04A0" w:firstRow="1" w:lastRow="0" w:firstColumn="1" w:lastColumn="0" w:noHBand="0" w:noVBand="1"/>
      </w:tblPr>
      <w:tblGrid>
        <w:gridCol w:w="2038"/>
        <w:gridCol w:w="4629"/>
        <w:gridCol w:w="3113"/>
      </w:tblGrid>
      <w:tr w:rsidR="00D80E44" w14:paraId="4B0197EF" w14:textId="77777777">
        <w:trPr>
          <w:cantSplit/>
          <w:tblHeader/>
        </w:trPr>
        <w:tc>
          <w:tcPr>
            <w:tcW w:w="2038"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58092AC3" w14:textId="77777777" w:rsidR="00D80E44" w:rsidRDefault="004530DE" w:rsidP="00236AE7">
            <w:pPr>
              <w:ind w:left="0"/>
            </w:pPr>
            <w:r>
              <w:rPr>
                <w:rFonts w:cs="Calibri"/>
                <w:b/>
                <w:color w:val="333333"/>
                <w:sz w:val="19"/>
              </w:rPr>
              <w:t>Kontrollbereich</w:t>
            </w:r>
          </w:p>
        </w:tc>
        <w:tc>
          <w:tcPr>
            <w:tcW w:w="4629"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72BA68FB" w14:textId="77777777" w:rsidR="00D80E44" w:rsidRDefault="004530DE" w:rsidP="00236AE7">
            <w:pPr>
              <w:ind w:left="0"/>
            </w:pPr>
            <w:r>
              <w:rPr>
                <w:rFonts w:cs="Calibri"/>
                <w:b/>
                <w:color w:val="333333"/>
                <w:sz w:val="19"/>
              </w:rPr>
              <w:t>Was konkret zu prüfen ist</w:t>
            </w:r>
          </w:p>
        </w:tc>
        <w:tc>
          <w:tcPr>
            <w:tcW w:w="3113"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745A65D5" w14:textId="77777777" w:rsidR="00D80E44" w:rsidRDefault="004530DE" w:rsidP="00236AE7">
            <w:pPr>
              <w:ind w:left="0"/>
            </w:pPr>
            <w:r>
              <w:rPr>
                <w:rFonts w:cs="Calibri"/>
                <w:b/>
                <w:color w:val="333333"/>
                <w:sz w:val="19"/>
              </w:rPr>
              <w:t>Mindestentscheidung / Nachweis</w:t>
            </w:r>
          </w:p>
        </w:tc>
      </w:tr>
      <w:tr w:rsidR="00D80E44" w14:paraId="401D3EBE" w14:textId="77777777">
        <w:trPr>
          <w:cantSplit/>
        </w:trPr>
        <w:tc>
          <w:tcPr>
            <w:tcW w:w="2038" w:type="dxa"/>
          </w:tcPr>
          <w:p w14:paraId="172E99E6" w14:textId="77777777" w:rsidR="00D80E44" w:rsidRDefault="004530DE" w:rsidP="00236AE7">
            <w:pPr>
              <w:spacing w:after="0" w:line="264" w:lineRule="auto"/>
              <w:ind w:left="0"/>
            </w:pPr>
            <w:r>
              <w:rPr>
                <w:rFonts w:cs="Calibri"/>
                <w:sz w:val="18"/>
              </w:rPr>
              <w:t>Identität und Zugriff</w:t>
            </w:r>
          </w:p>
        </w:tc>
        <w:tc>
          <w:tcPr>
            <w:tcW w:w="4629" w:type="dxa"/>
          </w:tcPr>
          <w:p w14:paraId="71D2B982" w14:textId="77777777" w:rsidR="00D80E44" w:rsidRDefault="004530DE" w:rsidP="00236AE7">
            <w:pPr>
              <w:spacing w:after="0" w:line="264" w:lineRule="auto"/>
              <w:ind w:left="0"/>
            </w:pPr>
            <w:r>
              <w:rPr>
                <w:rFonts w:cs="Calibri"/>
                <w:sz w:val="18"/>
              </w:rPr>
              <w:t>MFA, Conditional Access, Gerätestatus, privilegierte Konten, Gastkonten, Gruppenmitgliedschaften und administrative Rollen. MFA und Conditional Access sind als Sicherheitsbaseline zu bewerten, nicht als isolierte Copilot-Lizenzvoraussetzung.</w:t>
            </w:r>
          </w:p>
        </w:tc>
        <w:tc>
          <w:tcPr>
            <w:tcW w:w="3113" w:type="dxa"/>
          </w:tcPr>
          <w:p w14:paraId="3C23AFD4" w14:textId="77777777" w:rsidR="00D80E44" w:rsidRDefault="004530DE" w:rsidP="00236AE7">
            <w:pPr>
              <w:spacing w:after="0" w:line="264" w:lineRule="auto"/>
              <w:ind w:left="0"/>
            </w:pPr>
            <w:r>
              <w:rPr>
                <w:rFonts w:cs="Calibri"/>
                <w:sz w:val="18"/>
              </w:rPr>
              <w:t>Freigegebene Zugriffsbaseline, Ausnahmenregister und aktueller Identitätsreview.</w:t>
            </w:r>
          </w:p>
        </w:tc>
      </w:tr>
      <w:tr w:rsidR="00D80E44" w14:paraId="5C29D2F5" w14:textId="77777777">
        <w:trPr>
          <w:cantSplit/>
        </w:trPr>
        <w:tc>
          <w:tcPr>
            <w:tcW w:w="2038" w:type="dxa"/>
          </w:tcPr>
          <w:p w14:paraId="3CFCD9FD" w14:textId="77777777" w:rsidR="00D80E44" w:rsidRDefault="004530DE" w:rsidP="00236AE7">
            <w:pPr>
              <w:spacing w:after="0" w:line="264" w:lineRule="auto"/>
              <w:ind w:left="0"/>
            </w:pPr>
            <w:r>
              <w:rPr>
                <w:rFonts w:cs="Calibri"/>
                <w:sz w:val="18"/>
              </w:rPr>
              <w:t>SharePoint, OneDrive und Teams</w:t>
            </w:r>
          </w:p>
        </w:tc>
        <w:tc>
          <w:tcPr>
            <w:tcW w:w="4629" w:type="dxa"/>
          </w:tcPr>
          <w:p w14:paraId="4B438604" w14:textId="77777777" w:rsidR="00D80E44" w:rsidRDefault="004530DE" w:rsidP="00236AE7">
            <w:pPr>
              <w:spacing w:after="0" w:line="264" w:lineRule="auto"/>
              <w:ind w:left="0"/>
            </w:pPr>
            <w:r>
              <w:rPr>
                <w:rFonts w:cs="Calibri"/>
                <w:sz w:val="18"/>
              </w:rPr>
              <w:t>Breite Freigaben, alte Projektseiten, anonyme Links, externe Freigaben, verwaiste Sites, nicht nachvollziehbare Besitzer und übergroße M365-Gruppen.</w:t>
            </w:r>
          </w:p>
        </w:tc>
        <w:tc>
          <w:tcPr>
            <w:tcW w:w="3113" w:type="dxa"/>
          </w:tcPr>
          <w:p w14:paraId="78792FC0" w14:textId="77777777" w:rsidR="00D80E44" w:rsidRDefault="004530DE" w:rsidP="00236AE7">
            <w:pPr>
              <w:spacing w:after="0" w:line="264" w:lineRule="auto"/>
              <w:ind w:left="0"/>
            </w:pPr>
            <w:r>
              <w:rPr>
                <w:rFonts w:cs="Calibri"/>
                <w:sz w:val="18"/>
              </w:rPr>
              <w:t>Priorisierte Remediation-Liste, Verantwortliche und Termin für kritische Fundstellen.</w:t>
            </w:r>
          </w:p>
        </w:tc>
      </w:tr>
      <w:tr w:rsidR="00D80E44" w14:paraId="1E519C96" w14:textId="77777777">
        <w:trPr>
          <w:cantSplit/>
        </w:trPr>
        <w:tc>
          <w:tcPr>
            <w:tcW w:w="2038" w:type="dxa"/>
          </w:tcPr>
          <w:p w14:paraId="4B8EE4BC" w14:textId="77777777" w:rsidR="00D80E44" w:rsidRDefault="004530DE" w:rsidP="00236AE7">
            <w:pPr>
              <w:spacing w:after="0" w:line="264" w:lineRule="auto"/>
              <w:ind w:left="0"/>
            </w:pPr>
            <w:r>
              <w:rPr>
                <w:rFonts w:cs="Calibri"/>
                <w:sz w:val="18"/>
              </w:rPr>
              <w:t>Informationsschutz</w:t>
            </w:r>
          </w:p>
        </w:tc>
        <w:tc>
          <w:tcPr>
            <w:tcW w:w="4629" w:type="dxa"/>
          </w:tcPr>
          <w:p w14:paraId="43E9D112" w14:textId="77777777" w:rsidR="00D80E44" w:rsidRDefault="004530DE" w:rsidP="00236AE7">
            <w:pPr>
              <w:spacing w:after="0" w:line="264" w:lineRule="auto"/>
              <w:ind w:left="0"/>
            </w:pPr>
            <w:r>
              <w:rPr>
                <w:rFonts w:cs="Calibri"/>
                <w:sz w:val="18"/>
              </w:rPr>
              <w:t>Schutzbedarfsmodell, Sensitivity Labels, Verschlüsselung, DLP, Retention, eDiscovery und ihre Wirkung in realistischen Copilot-Szenarien. DLP nicht nur simulieren, sondern den abgestimmten Enforce-Modus testen.</w:t>
            </w:r>
          </w:p>
        </w:tc>
        <w:tc>
          <w:tcPr>
            <w:tcW w:w="3113" w:type="dxa"/>
          </w:tcPr>
          <w:p w14:paraId="7C067208" w14:textId="77777777" w:rsidR="00D80E44" w:rsidRDefault="004530DE" w:rsidP="00236AE7">
            <w:pPr>
              <w:spacing w:after="0" w:line="264" w:lineRule="auto"/>
              <w:ind w:left="0"/>
            </w:pPr>
            <w:r>
              <w:rPr>
                <w:rFonts w:cs="Calibri"/>
                <w:sz w:val="18"/>
              </w:rPr>
              <w:t>Testprotokoll mit repräsentativen Dateien, Prompts, Warnungen, Enforce-Status und bekannten Ausnahmen.</w:t>
            </w:r>
          </w:p>
        </w:tc>
      </w:tr>
      <w:tr w:rsidR="00D80E44" w14:paraId="5A45F2F9" w14:textId="77777777">
        <w:trPr>
          <w:cantSplit/>
        </w:trPr>
        <w:tc>
          <w:tcPr>
            <w:tcW w:w="2038" w:type="dxa"/>
          </w:tcPr>
          <w:p w14:paraId="3BF0EDC0" w14:textId="77777777" w:rsidR="00D80E44" w:rsidRDefault="004530DE" w:rsidP="00236AE7">
            <w:pPr>
              <w:spacing w:after="0" w:line="264" w:lineRule="auto"/>
              <w:ind w:left="0"/>
            </w:pPr>
            <w:r>
              <w:rPr>
                <w:rFonts w:cs="Calibri"/>
                <w:sz w:val="18"/>
              </w:rPr>
              <w:t>Copilot-Varianten und Web</w:t>
            </w:r>
          </w:p>
        </w:tc>
        <w:tc>
          <w:tcPr>
            <w:tcW w:w="4629" w:type="dxa"/>
          </w:tcPr>
          <w:p w14:paraId="24DDAEA0" w14:textId="77777777" w:rsidR="00D80E44" w:rsidRDefault="004530DE" w:rsidP="00236AE7">
            <w:pPr>
              <w:spacing w:after="0" w:line="264" w:lineRule="auto"/>
              <w:ind w:left="0"/>
            </w:pPr>
            <w:r>
              <w:rPr>
                <w:rFonts w:cs="Calibri"/>
                <w:sz w:val="18"/>
              </w:rPr>
              <w:t>Zugelassene Lizenz- und Funktionsvarianten, Enterprise-Data-Protection-Zusagen, Web Grounding, Quellenverwendung und Kommunikationshinweise. Webanfragen separat bewerten.</w:t>
            </w:r>
          </w:p>
        </w:tc>
        <w:tc>
          <w:tcPr>
            <w:tcW w:w="3113" w:type="dxa"/>
          </w:tcPr>
          <w:p w14:paraId="6780FBBA" w14:textId="77777777" w:rsidR="00D80E44" w:rsidRDefault="004530DE" w:rsidP="00236AE7">
            <w:pPr>
              <w:spacing w:after="0" w:line="264" w:lineRule="auto"/>
              <w:ind w:left="0"/>
            </w:pPr>
            <w:r>
              <w:rPr>
                <w:rFonts w:cs="Calibri"/>
                <w:sz w:val="18"/>
              </w:rPr>
              <w:t>Verbindliche Scope- und Konfigurationsentscheidung mit Owner, DLP-Test und Begründung.</w:t>
            </w:r>
          </w:p>
        </w:tc>
      </w:tr>
      <w:tr w:rsidR="00D80E44" w14:paraId="341FEA73" w14:textId="77777777">
        <w:trPr>
          <w:cantSplit/>
        </w:trPr>
        <w:tc>
          <w:tcPr>
            <w:tcW w:w="2038" w:type="dxa"/>
          </w:tcPr>
          <w:p w14:paraId="48872395" w14:textId="77777777" w:rsidR="00D80E44" w:rsidRDefault="004530DE" w:rsidP="00236AE7">
            <w:pPr>
              <w:spacing w:after="0" w:line="264" w:lineRule="auto"/>
              <w:ind w:left="0"/>
            </w:pPr>
            <w:r>
              <w:rPr>
                <w:rFonts w:cs="Calibri"/>
                <w:sz w:val="18"/>
              </w:rPr>
              <w:t>Agents und Connectoren</w:t>
            </w:r>
          </w:p>
        </w:tc>
        <w:tc>
          <w:tcPr>
            <w:tcW w:w="4629" w:type="dxa"/>
          </w:tcPr>
          <w:p w14:paraId="036CDEE7" w14:textId="77777777" w:rsidR="00D80E44" w:rsidRDefault="004530DE" w:rsidP="00236AE7">
            <w:pPr>
              <w:spacing w:after="0" w:line="264" w:lineRule="auto"/>
              <w:ind w:left="0"/>
            </w:pPr>
            <w:r>
              <w:rPr>
                <w:rFonts w:cs="Calibri"/>
                <w:sz w:val="18"/>
              </w:rPr>
              <w:t>Eigentümer, Datenquellen, Scopes, externe Aktionen, Systeminstruktionen, Drittanbieter, Logging, Rollback und Änderungsmanagement. Connector-Berechtigungsmodus und Agentenidentität gesondert prüfen.</w:t>
            </w:r>
          </w:p>
        </w:tc>
        <w:tc>
          <w:tcPr>
            <w:tcW w:w="3113" w:type="dxa"/>
          </w:tcPr>
          <w:p w14:paraId="02AFFA3F" w14:textId="77777777" w:rsidR="00D80E44" w:rsidRDefault="004530DE" w:rsidP="00236AE7">
            <w:pPr>
              <w:spacing w:after="0" w:line="264" w:lineRule="auto"/>
              <w:ind w:left="0"/>
            </w:pPr>
            <w:r>
              <w:rPr>
                <w:rFonts w:cs="Calibri"/>
                <w:sz w:val="18"/>
              </w:rPr>
              <w:t>Agent-/Connector-Register mit Berechtigungsmodus, Agent-ID bzw. App-Registrierung, Testnutzer und Freigabe pro Verbindung.</w:t>
            </w:r>
          </w:p>
        </w:tc>
      </w:tr>
      <w:tr w:rsidR="00D80E44" w14:paraId="5D371463" w14:textId="77777777">
        <w:trPr>
          <w:cantSplit/>
        </w:trPr>
        <w:tc>
          <w:tcPr>
            <w:tcW w:w="2038" w:type="dxa"/>
          </w:tcPr>
          <w:p w14:paraId="47721406" w14:textId="77777777" w:rsidR="00D80E44" w:rsidRDefault="004530DE" w:rsidP="00236AE7">
            <w:pPr>
              <w:spacing w:after="0" w:line="264" w:lineRule="auto"/>
              <w:ind w:left="0"/>
            </w:pPr>
            <w:r>
              <w:rPr>
                <w:rFonts w:cs="Calibri"/>
                <w:sz w:val="18"/>
              </w:rPr>
              <w:t>Betrieb und Nachweis</w:t>
            </w:r>
          </w:p>
        </w:tc>
        <w:tc>
          <w:tcPr>
            <w:tcW w:w="4629" w:type="dxa"/>
          </w:tcPr>
          <w:p w14:paraId="7E76F747" w14:textId="77777777" w:rsidR="00D80E44" w:rsidRDefault="004530DE" w:rsidP="00236AE7">
            <w:pPr>
              <w:spacing w:after="0" w:line="264" w:lineRule="auto"/>
              <w:ind w:left="0"/>
            </w:pPr>
            <w:r>
              <w:rPr>
                <w:rFonts w:cs="Calibri"/>
                <w:sz w:val="18"/>
              </w:rPr>
              <w:t>Auditumfang, Incident-Meldeweg, Retention, Monitoring, Abschaltoption, Reviewkalender und Ablage der Evidenzen.</w:t>
            </w:r>
          </w:p>
        </w:tc>
        <w:tc>
          <w:tcPr>
            <w:tcW w:w="3113" w:type="dxa"/>
          </w:tcPr>
          <w:p w14:paraId="34F95B7A" w14:textId="77777777" w:rsidR="00D80E44" w:rsidRDefault="004530DE" w:rsidP="00236AE7">
            <w:pPr>
              <w:spacing w:after="0" w:line="264" w:lineRule="auto"/>
              <w:ind w:left="0"/>
            </w:pPr>
            <w:r>
              <w:rPr>
                <w:rFonts w:cs="Calibri"/>
                <w:sz w:val="18"/>
              </w:rPr>
              <w:t>Betriebshandbuch, Testnachweis und benannte Eskalationskontakte.</w:t>
            </w:r>
          </w:p>
        </w:tc>
      </w:tr>
    </w:tbl>
    <w:p w14:paraId="2515F53B" w14:textId="77777777" w:rsidR="00D80E44" w:rsidRDefault="00D80E44">
      <w:pPr>
        <w:spacing w:after="0"/>
      </w:pPr>
    </w:p>
    <w:p w14:paraId="566D950D" w14:textId="73BEEC4F" w:rsidR="00D80E44" w:rsidRPr="00D542F3" w:rsidRDefault="004530DE" w:rsidP="00D542F3">
      <w:pPr>
        <w:pStyle w:val="berschrift2"/>
        <w:rPr>
          <w:lang w:val="en-US"/>
        </w:rPr>
      </w:pPr>
      <w:bookmarkStart w:id="24" w:name="_Toc236813390"/>
      <w:r w:rsidRPr="00D542F3">
        <w:rPr>
          <w:lang w:val="en-US"/>
        </w:rPr>
        <w:t>Datenschutz-Screening pro Use Case</w:t>
      </w:r>
      <w:bookmarkEnd w:id="24"/>
    </w:p>
    <w:p w14:paraId="44FBEB8A" w14:textId="77777777" w:rsidR="00D80E44" w:rsidRDefault="004530DE">
      <w:r>
        <w:rPr>
          <w:rFonts w:cs="Calibri"/>
        </w:rPr>
        <w:t>Datenschutz wird nicht nur einmal für das Produkt, sondern auch für den jeweiligen Zweck bewertet. Das Screening dokumentiert, welche Daten verarbeitet werden, warum die Verarbeitung erforderlich ist und welche technischen sowie organisatorischen Schutzmaßnahmen den konkreten Einsatz absichern.</w:t>
      </w:r>
    </w:p>
    <w:tbl>
      <w:tblPr>
        <w:tblW w:w="9780" w:type="dxa"/>
        <w:tblInd w:w="120" w:type="dxa"/>
        <w:tblLayout w:type="fixed"/>
        <w:tblLook w:val="04A0" w:firstRow="1" w:lastRow="0" w:firstColumn="1" w:lastColumn="0" w:noHBand="0" w:noVBand="1"/>
      </w:tblPr>
      <w:tblGrid>
        <w:gridCol w:w="2140"/>
        <w:gridCol w:w="4662"/>
        <w:gridCol w:w="2978"/>
      </w:tblGrid>
      <w:tr w:rsidR="00D80E44" w14:paraId="159F7A60" w14:textId="77777777" w:rsidTr="00236AE7">
        <w:trPr>
          <w:cantSplit/>
          <w:tblHeader/>
        </w:trPr>
        <w:tc>
          <w:tcPr>
            <w:tcW w:w="2140"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0F87E27B" w14:textId="77777777" w:rsidR="00D80E44" w:rsidRDefault="004530DE" w:rsidP="00236AE7">
            <w:pPr>
              <w:ind w:left="0"/>
            </w:pPr>
            <w:r>
              <w:rPr>
                <w:rFonts w:cs="Calibri"/>
                <w:b/>
                <w:color w:val="333333"/>
                <w:sz w:val="19"/>
              </w:rPr>
              <w:t>Prüffrage</w:t>
            </w:r>
          </w:p>
        </w:tc>
        <w:tc>
          <w:tcPr>
            <w:tcW w:w="4662"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6B0837E3" w14:textId="77777777" w:rsidR="00D80E44" w:rsidRDefault="004530DE" w:rsidP="00236AE7">
            <w:pPr>
              <w:ind w:left="0"/>
            </w:pPr>
            <w:r>
              <w:rPr>
                <w:rFonts w:cs="Calibri"/>
                <w:b/>
                <w:color w:val="333333"/>
                <w:sz w:val="19"/>
              </w:rPr>
              <w:t>Hinweis für die Bewertung</w:t>
            </w:r>
          </w:p>
        </w:tc>
        <w:tc>
          <w:tcPr>
            <w:tcW w:w="2978"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3554E9F0" w14:textId="77777777" w:rsidR="00D80E44" w:rsidRDefault="004530DE" w:rsidP="00236AE7">
            <w:pPr>
              <w:ind w:left="0"/>
            </w:pPr>
            <w:r>
              <w:rPr>
                <w:rFonts w:cs="Calibri"/>
                <w:b/>
                <w:color w:val="333333"/>
                <w:sz w:val="19"/>
              </w:rPr>
              <w:t>Eskalation, wenn unklar</w:t>
            </w:r>
          </w:p>
        </w:tc>
      </w:tr>
      <w:tr w:rsidR="00D80E44" w14:paraId="5CD146D0" w14:textId="77777777" w:rsidTr="00236AE7">
        <w:trPr>
          <w:cantSplit/>
        </w:trPr>
        <w:tc>
          <w:tcPr>
            <w:tcW w:w="2140" w:type="dxa"/>
          </w:tcPr>
          <w:p w14:paraId="222674B7" w14:textId="77777777" w:rsidR="00D80E44" w:rsidRDefault="004530DE" w:rsidP="00236AE7">
            <w:pPr>
              <w:spacing w:after="0" w:line="264" w:lineRule="auto"/>
              <w:ind w:left="0"/>
            </w:pPr>
            <w:r>
              <w:rPr>
                <w:rFonts w:cs="Calibri"/>
                <w:sz w:val="18"/>
              </w:rPr>
              <w:t>Sind personenbezogene Daten betroffen?</w:t>
            </w:r>
          </w:p>
        </w:tc>
        <w:tc>
          <w:tcPr>
            <w:tcW w:w="4662" w:type="dxa"/>
          </w:tcPr>
          <w:p w14:paraId="38586107" w14:textId="77777777" w:rsidR="00D80E44" w:rsidRDefault="004530DE" w:rsidP="00236AE7">
            <w:pPr>
              <w:spacing w:after="0" w:line="264" w:lineRule="auto"/>
              <w:ind w:left="0"/>
            </w:pPr>
            <w:r>
              <w:rPr>
                <w:rFonts w:cs="Calibri"/>
                <w:sz w:val="18"/>
              </w:rPr>
              <w:t>Betroffene Personen, Datenkategorien, Datenquelle, Empfänger und Verarbeitungsschritt konkret beschreiben.</w:t>
            </w:r>
          </w:p>
        </w:tc>
        <w:tc>
          <w:tcPr>
            <w:tcW w:w="2978" w:type="dxa"/>
          </w:tcPr>
          <w:p w14:paraId="318F2D80" w14:textId="77777777" w:rsidR="00D80E44" w:rsidRDefault="004530DE" w:rsidP="00236AE7">
            <w:pPr>
              <w:spacing w:after="0" w:line="264" w:lineRule="auto"/>
              <w:ind w:left="0"/>
            </w:pPr>
            <w:r>
              <w:rPr>
                <w:rFonts w:cs="Calibri"/>
                <w:sz w:val="18"/>
              </w:rPr>
              <w:t>Datenschutz einbinden; Rechtsgrundlage und Transparenz prüfen.</w:t>
            </w:r>
          </w:p>
        </w:tc>
      </w:tr>
      <w:tr w:rsidR="00D80E44" w14:paraId="7964F719" w14:textId="77777777" w:rsidTr="00236AE7">
        <w:trPr>
          <w:cantSplit/>
        </w:trPr>
        <w:tc>
          <w:tcPr>
            <w:tcW w:w="2140" w:type="dxa"/>
          </w:tcPr>
          <w:p w14:paraId="6396860F" w14:textId="77777777" w:rsidR="00D80E44" w:rsidRDefault="004530DE" w:rsidP="00236AE7">
            <w:pPr>
              <w:spacing w:after="0" w:line="264" w:lineRule="auto"/>
              <w:ind w:left="0"/>
            </w:pPr>
            <w:r>
              <w:rPr>
                <w:rFonts w:cs="Calibri"/>
                <w:sz w:val="18"/>
              </w:rPr>
              <w:t>Liegen besondere Kategorien oder besonders schutzwürdige Daten vor?</w:t>
            </w:r>
          </w:p>
        </w:tc>
        <w:tc>
          <w:tcPr>
            <w:tcW w:w="4662" w:type="dxa"/>
          </w:tcPr>
          <w:p w14:paraId="20A1C7E4" w14:textId="77777777" w:rsidR="00D80E44" w:rsidRDefault="004530DE" w:rsidP="00236AE7">
            <w:pPr>
              <w:spacing w:after="0" w:line="264" w:lineRule="auto"/>
              <w:ind w:left="0"/>
            </w:pPr>
            <w:r>
              <w:rPr>
                <w:rFonts w:cs="Calibri"/>
                <w:sz w:val="18"/>
              </w:rPr>
              <w:t>Gesundheit, Personalakten, Gewerkschaftsbezug, biometrische Daten, Zugangsdaten oder Geschäftsgeheimnisse nicht in allgemeine Prompts überführen.</w:t>
            </w:r>
          </w:p>
        </w:tc>
        <w:tc>
          <w:tcPr>
            <w:tcW w:w="2978" w:type="dxa"/>
          </w:tcPr>
          <w:p w14:paraId="797E3284" w14:textId="77777777" w:rsidR="00D80E44" w:rsidRDefault="004530DE" w:rsidP="00236AE7">
            <w:pPr>
              <w:spacing w:after="0" w:line="264" w:lineRule="auto"/>
              <w:ind w:left="0"/>
            </w:pPr>
            <w:r>
              <w:rPr>
                <w:rFonts w:cs="Calibri"/>
                <w:sz w:val="18"/>
              </w:rPr>
              <w:t>Einsatz stoppen, bis ein explizit geprüfter und freigegebener Prozess vorliegt.</w:t>
            </w:r>
          </w:p>
        </w:tc>
      </w:tr>
      <w:tr w:rsidR="00D80E44" w14:paraId="193659CE" w14:textId="77777777" w:rsidTr="00236AE7">
        <w:trPr>
          <w:cantSplit/>
        </w:trPr>
        <w:tc>
          <w:tcPr>
            <w:tcW w:w="2140" w:type="dxa"/>
          </w:tcPr>
          <w:p w14:paraId="316871BE" w14:textId="77777777" w:rsidR="00D80E44" w:rsidRDefault="004530DE" w:rsidP="00236AE7">
            <w:pPr>
              <w:spacing w:after="0" w:line="264" w:lineRule="auto"/>
              <w:ind w:left="0"/>
            </w:pPr>
            <w:r>
              <w:rPr>
                <w:rFonts w:cs="Calibri"/>
                <w:sz w:val="18"/>
              </w:rPr>
              <w:t>Besteht Beschäftigtenbezug?</w:t>
            </w:r>
          </w:p>
        </w:tc>
        <w:tc>
          <w:tcPr>
            <w:tcW w:w="4662" w:type="dxa"/>
          </w:tcPr>
          <w:p w14:paraId="0EE06303" w14:textId="77777777" w:rsidR="00D80E44" w:rsidRDefault="004530DE" w:rsidP="00236AE7">
            <w:pPr>
              <w:spacing w:after="0" w:line="264" w:lineRule="auto"/>
              <w:ind w:left="0"/>
            </w:pPr>
            <w:r>
              <w:rPr>
                <w:rFonts w:cs="Calibri"/>
                <w:sz w:val="18"/>
              </w:rPr>
              <w:t>Verhaltens- oder Leistungsbezug, Bewerbungen, HR-Akten und Personalentscheidungen separat erfassen.</w:t>
            </w:r>
          </w:p>
        </w:tc>
        <w:tc>
          <w:tcPr>
            <w:tcW w:w="2978" w:type="dxa"/>
          </w:tcPr>
          <w:p w14:paraId="51432D86" w14:textId="77777777" w:rsidR="00D80E44" w:rsidRDefault="004530DE" w:rsidP="00236AE7">
            <w:pPr>
              <w:spacing w:after="0" w:line="264" w:lineRule="auto"/>
              <w:ind w:left="0"/>
            </w:pPr>
            <w:r>
              <w:rPr>
                <w:rFonts w:cs="Calibri"/>
                <w:sz w:val="18"/>
              </w:rPr>
              <w:t>HR, Recht, Datenschutz und gegebenenfalls Betriebsrat oder Personalvertretung einbinden.</w:t>
            </w:r>
          </w:p>
        </w:tc>
      </w:tr>
      <w:tr w:rsidR="00D80E44" w14:paraId="08D87B52" w14:textId="77777777" w:rsidTr="00236AE7">
        <w:trPr>
          <w:cantSplit/>
        </w:trPr>
        <w:tc>
          <w:tcPr>
            <w:tcW w:w="2140" w:type="dxa"/>
          </w:tcPr>
          <w:p w14:paraId="551FEB6F" w14:textId="77777777" w:rsidR="00D80E44" w:rsidRDefault="004530DE" w:rsidP="00236AE7">
            <w:pPr>
              <w:spacing w:after="0" w:line="264" w:lineRule="auto"/>
              <w:ind w:left="0"/>
            </w:pPr>
            <w:r>
              <w:rPr>
                <w:rFonts w:cs="Calibri"/>
                <w:sz w:val="18"/>
              </w:rPr>
              <w:t>Ist die Datenverarbeitung erforderlich und minimiert?</w:t>
            </w:r>
          </w:p>
        </w:tc>
        <w:tc>
          <w:tcPr>
            <w:tcW w:w="4662" w:type="dxa"/>
          </w:tcPr>
          <w:p w14:paraId="4497D29F" w14:textId="77777777" w:rsidR="00D80E44" w:rsidRDefault="004530DE" w:rsidP="00236AE7">
            <w:pPr>
              <w:spacing w:after="0" w:line="264" w:lineRule="auto"/>
              <w:ind w:left="0"/>
            </w:pPr>
            <w:r>
              <w:rPr>
                <w:rFonts w:cs="Calibri"/>
                <w:sz w:val="18"/>
              </w:rPr>
              <w:t>Nur Daten einbeziehen, die für den Zweck nötig sind; Platzhalter, Anonymisierung oder Aggregation bevorzugen.</w:t>
            </w:r>
          </w:p>
        </w:tc>
        <w:tc>
          <w:tcPr>
            <w:tcW w:w="2978" w:type="dxa"/>
          </w:tcPr>
          <w:p w14:paraId="0F77FAAD" w14:textId="77777777" w:rsidR="00D80E44" w:rsidRDefault="004530DE" w:rsidP="00236AE7">
            <w:pPr>
              <w:spacing w:after="0" w:line="264" w:lineRule="auto"/>
              <w:ind w:left="0"/>
            </w:pPr>
            <w:r>
              <w:rPr>
                <w:rFonts w:cs="Calibri"/>
                <w:sz w:val="18"/>
              </w:rPr>
              <w:t>Use Case vereinfachen oder Datenquelle begrenzen.</w:t>
            </w:r>
          </w:p>
        </w:tc>
      </w:tr>
      <w:tr w:rsidR="00D80E44" w14:paraId="4650DD9C" w14:textId="77777777" w:rsidTr="00236AE7">
        <w:trPr>
          <w:cantSplit/>
        </w:trPr>
        <w:tc>
          <w:tcPr>
            <w:tcW w:w="2140" w:type="dxa"/>
          </w:tcPr>
          <w:p w14:paraId="73FF9C4D" w14:textId="77777777" w:rsidR="00D80E44" w:rsidRDefault="004530DE" w:rsidP="00236AE7">
            <w:pPr>
              <w:spacing w:after="0" w:line="264" w:lineRule="auto"/>
              <w:ind w:left="0"/>
            </w:pPr>
            <w:r>
              <w:rPr>
                <w:rFonts w:cs="Calibri"/>
                <w:sz w:val="18"/>
              </w:rPr>
              <w:t>Sind Datenflüsse und Auftragsverarbeitung nachvollziehbar?</w:t>
            </w:r>
          </w:p>
        </w:tc>
        <w:tc>
          <w:tcPr>
            <w:tcW w:w="4662" w:type="dxa"/>
          </w:tcPr>
          <w:p w14:paraId="301C39EC" w14:textId="77777777" w:rsidR="00D80E44" w:rsidRDefault="004530DE" w:rsidP="00236AE7">
            <w:pPr>
              <w:spacing w:after="0" w:line="264" w:lineRule="auto"/>
              <w:ind w:left="0"/>
            </w:pPr>
            <w:r>
              <w:rPr>
                <w:rFonts w:cs="Calibri"/>
                <w:sz w:val="18"/>
              </w:rPr>
              <w:t>Konkrete Copilot-Variante, Lizenz, Datenresidenz, Auftragsverarbeitung, Drittanbieter und Connectoren prüfen.</w:t>
            </w:r>
          </w:p>
        </w:tc>
        <w:tc>
          <w:tcPr>
            <w:tcW w:w="2978" w:type="dxa"/>
          </w:tcPr>
          <w:p w14:paraId="45E6E7A1" w14:textId="77777777" w:rsidR="00D80E44" w:rsidRDefault="004530DE" w:rsidP="00236AE7">
            <w:pPr>
              <w:spacing w:after="0" w:line="264" w:lineRule="auto"/>
              <w:ind w:left="0"/>
            </w:pPr>
            <w:r>
              <w:rPr>
                <w:rFonts w:cs="Calibri"/>
                <w:sz w:val="18"/>
              </w:rPr>
              <w:t>IT, Einkauf und Datenschutz zur Vertrags-/Produktprüfung einbinden.</w:t>
            </w:r>
          </w:p>
        </w:tc>
      </w:tr>
      <w:tr w:rsidR="00D80E44" w14:paraId="1E6DAD46" w14:textId="77777777" w:rsidTr="00236AE7">
        <w:trPr>
          <w:cantSplit/>
        </w:trPr>
        <w:tc>
          <w:tcPr>
            <w:tcW w:w="2140" w:type="dxa"/>
          </w:tcPr>
          <w:p w14:paraId="27528683" w14:textId="77777777" w:rsidR="00D80E44" w:rsidRDefault="004530DE" w:rsidP="00236AE7">
            <w:pPr>
              <w:spacing w:after="0" w:line="264" w:lineRule="auto"/>
              <w:ind w:left="0"/>
            </w:pPr>
            <w:r>
              <w:rPr>
                <w:rFonts w:cs="Calibri"/>
                <w:sz w:val="18"/>
              </w:rPr>
              <w:t>Gibt es einen DSFA- oder Sicherheits-Trigger?</w:t>
            </w:r>
          </w:p>
        </w:tc>
        <w:tc>
          <w:tcPr>
            <w:tcW w:w="4662" w:type="dxa"/>
          </w:tcPr>
          <w:p w14:paraId="23FF0517" w14:textId="77777777" w:rsidR="00D80E44" w:rsidRDefault="004530DE" w:rsidP="00236AE7">
            <w:pPr>
              <w:spacing w:after="0" w:line="264" w:lineRule="auto"/>
              <w:ind w:left="0"/>
            </w:pPr>
            <w:r>
              <w:rPr>
                <w:rFonts w:cs="Calibri"/>
                <w:sz w:val="18"/>
              </w:rPr>
              <w:t>Umfang, Sensibilität, Überwachung, neue Technologie, automatisierte Wirkung und mögliche Schäden bewerten.</w:t>
            </w:r>
          </w:p>
        </w:tc>
        <w:tc>
          <w:tcPr>
            <w:tcW w:w="2978" w:type="dxa"/>
          </w:tcPr>
          <w:p w14:paraId="0973115C" w14:textId="77777777" w:rsidR="00D80E44" w:rsidRDefault="004530DE" w:rsidP="00236AE7">
            <w:pPr>
              <w:spacing w:after="0" w:line="264" w:lineRule="auto"/>
              <w:ind w:left="0"/>
            </w:pPr>
            <w:r>
              <w:rPr>
                <w:rFonts w:cs="Calibri"/>
                <w:sz w:val="18"/>
              </w:rPr>
              <w:t>Formales Datenschutz- bzw. Security-Screening anstoßen.</w:t>
            </w:r>
          </w:p>
        </w:tc>
      </w:tr>
    </w:tbl>
    <w:p w14:paraId="709D0867" w14:textId="77777777" w:rsidR="00D80E44" w:rsidRDefault="00D80E44">
      <w:pPr>
        <w:spacing w:after="0"/>
      </w:pPr>
    </w:p>
    <w:p w14:paraId="53585D8A" w14:textId="71469815" w:rsidR="00D80E44" w:rsidRDefault="004530DE" w:rsidP="00D542F3">
      <w:pPr>
        <w:pStyle w:val="berschrift2"/>
      </w:pPr>
      <w:bookmarkStart w:id="25" w:name="_Toc236813391"/>
      <w:r>
        <w:t>Testprotokoll: von der Konfiguration zur Freigabe</w:t>
      </w:r>
      <w:bookmarkEnd w:id="25"/>
    </w:p>
    <w:p w14:paraId="0009565F" w14:textId="77777777" w:rsidR="00D80E44" w:rsidRDefault="004530DE" w:rsidP="00D542F3">
      <w:pPr>
        <w:pStyle w:val="Listenabsatz"/>
        <w:numPr>
          <w:ilvl w:val="0"/>
          <w:numId w:val="14"/>
        </w:numPr>
      </w:pPr>
      <w:r>
        <w:t>Eine repräsentative Testdatei je Schutzklasse auswählen. Testdaten dürfen keine unnötigen realen Geheimnisse oder besonderen Kategorien personenbezogener Daten enthalten.</w:t>
      </w:r>
    </w:p>
    <w:p w14:paraId="014328D2" w14:textId="77777777" w:rsidR="00D80E44" w:rsidRDefault="004530DE" w:rsidP="00D542F3">
      <w:pPr>
        <w:pStyle w:val="Listenabsatz"/>
        <w:numPr>
          <w:ilvl w:val="0"/>
          <w:numId w:val="14"/>
        </w:numPr>
      </w:pPr>
      <w:r>
        <w:t>Für jede Testdatei die erwartete Berechtigung, das erwartete Label, den erwarteten DLP-Hinweis, den DLP-Modus und das erwartete Copilot-Verhalten vorab festhalten.</w:t>
      </w:r>
    </w:p>
    <w:p w14:paraId="0881BD83" w14:textId="77777777" w:rsidR="00D80E44" w:rsidRDefault="004530DE" w:rsidP="00D542F3">
      <w:pPr>
        <w:pStyle w:val="Listenabsatz"/>
        <w:numPr>
          <w:ilvl w:val="0"/>
          <w:numId w:val="14"/>
        </w:numPr>
      </w:pPr>
      <w:r>
        <w:t>Tests mit Pilotnutzer, Nichtberechtigtem, Gastkonto und – soweit vorgesehen – administrativer Rolle durchführen. Dabei auch ungewollte Freigaben und externe Links prüfen.</w:t>
      </w:r>
    </w:p>
    <w:p w14:paraId="744FF4B7" w14:textId="77777777" w:rsidR="00D80E44" w:rsidRDefault="004530DE" w:rsidP="00D542F3">
      <w:pPr>
        <w:pStyle w:val="Listenabsatz"/>
        <w:numPr>
          <w:ilvl w:val="0"/>
          <w:numId w:val="14"/>
        </w:numPr>
      </w:pPr>
      <w:r>
        <w:t>Copilot-Ausgaben auf Quellenbezug, Informationsweitergabe, Fehlverhalten, Halluzinationen, DLP-Reaktion einschließlich Enforce-Test, Audit-Spuren und Nutzungsfreundlichkeit bewerten. Websuche und direkte Datei-Uploads getrennt dokumentieren, weil sie andere Kontrollgrenzen haben können.</w:t>
      </w:r>
    </w:p>
    <w:p w14:paraId="3A6C007B" w14:textId="77777777" w:rsidR="00D80E44" w:rsidRDefault="004530DE" w:rsidP="00D542F3">
      <w:pPr>
        <w:pStyle w:val="Listenabsatz"/>
        <w:numPr>
          <w:ilvl w:val="0"/>
          <w:numId w:val="14"/>
        </w:numPr>
      </w:pPr>
      <w:r>
        <w:t>Abweichungen einem Owner zuordnen, Frist setzen und die Wirksamkeit nach der Korrektur erneut testen. Nicht geschlossene P1-Abweichungen blockieren die Skalierung.</w:t>
      </w:r>
    </w:p>
    <w:p w14:paraId="5C5B3F3B" w14:textId="77777777" w:rsidR="00D80E44" w:rsidRDefault="004530DE" w:rsidP="00D542F3">
      <w:pPr>
        <w:pStyle w:val="Listenabsatz"/>
        <w:numPr>
          <w:ilvl w:val="0"/>
          <w:numId w:val="14"/>
        </w:numPr>
      </w:pPr>
      <w:r>
        <w:t>Die Pilotfreigabe mit Scope, offenen Auflagen, Gültigkeitsdauer und dem nächsten Reviewdatum nachvollziehbar beschließen.</w:t>
      </w:r>
    </w:p>
    <w:p w14:paraId="33959E64" w14:textId="4A56D0C5" w:rsidR="00D80E44" w:rsidRDefault="004530DE" w:rsidP="00D542F3">
      <w:pPr>
        <w:pStyle w:val="berschrift2"/>
      </w:pPr>
      <w:bookmarkStart w:id="26" w:name="_Toc236813392"/>
      <w:r>
        <w:t>Entscheidungspunkt: Richtlinie und Nachweis</w:t>
      </w:r>
      <w:bookmarkEnd w:id="26"/>
    </w:p>
    <w:tbl>
      <w:tblPr>
        <w:tblW w:w="9780" w:type="dxa"/>
        <w:tblInd w:w="120" w:type="dxa"/>
        <w:tblLayout w:type="fixed"/>
        <w:tblLook w:val="04A0" w:firstRow="1" w:lastRow="0" w:firstColumn="1" w:lastColumn="0" w:noHBand="0" w:noVBand="1"/>
      </w:tblPr>
      <w:tblGrid>
        <w:gridCol w:w="9780"/>
      </w:tblGrid>
      <w:tr w:rsidR="00D80E44" w14:paraId="26AC18AA" w14:textId="77777777">
        <w:tc>
          <w:tcPr>
            <w:tcW w:w="9780" w:type="dxa"/>
            <w:tcBorders>
              <w:top w:val="single" w:sz="12" w:space="0" w:color="F25022"/>
              <w:left w:val="single" w:sz="12" w:space="0" w:color="F25022"/>
              <w:bottom w:val="single" w:sz="12" w:space="0" w:color="F25022"/>
              <w:right w:val="single" w:sz="12" w:space="0" w:color="F25022"/>
            </w:tcBorders>
            <w:shd w:val="clear" w:color="auto" w:fill="FFF0E9"/>
            <w:tcMar>
              <w:top w:w="80" w:type="dxa"/>
              <w:left w:w="120" w:type="dxa"/>
              <w:bottom w:w="80" w:type="dxa"/>
              <w:right w:w="120" w:type="dxa"/>
            </w:tcMar>
            <w:vAlign w:val="center"/>
          </w:tcPr>
          <w:p w14:paraId="0DEA21A5" w14:textId="77777777" w:rsidR="00D80E44" w:rsidRDefault="004530DE">
            <w:pPr>
              <w:spacing w:after="60"/>
            </w:pPr>
            <w:r>
              <w:rPr>
                <w:rFonts w:cs="Calibri"/>
                <w:b/>
                <w:color w:val="333333"/>
                <w:sz w:val="21"/>
              </w:rPr>
              <w:t>Ist die Copilot-Datenschutz- und Nutzungsrichtlinie konfiguriert und dokumentiert?</w:t>
            </w:r>
          </w:p>
          <w:p w14:paraId="6A197D12" w14:textId="77777777" w:rsidR="00D80E44" w:rsidRDefault="004530DE">
            <w:pPr>
              <w:spacing w:after="100"/>
            </w:pPr>
            <w:r>
              <w:rPr>
                <w:rFonts w:cs="Calibri"/>
                <w:sz w:val="20"/>
              </w:rPr>
              <w:t>Falls nein: Vor einer breiten Aktivierung sollten Datenklassen, freigegebene Systeme, Prompt-Regeln, menschliche Prüfung, Freigaben, Vorfälle und Ansprechpartner konsistent abgestimmt und als belastbarer Nachweis abgelegt werden.</w:t>
            </w:r>
          </w:p>
          <w:p w14:paraId="6EE01C57" w14:textId="3A66C76F" w:rsidR="00D80E44" w:rsidRDefault="004530DE">
            <w:pPr>
              <w:spacing w:after="0"/>
            </w:pPr>
            <w:r>
              <w:rPr>
                <w:rFonts w:cs="Calibri"/>
                <w:b/>
                <w:color w:val="333333"/>
                <w:sz w:val="20"/>
              </w:rPr>
              <w:t xml:space="preserve">Nächster Schritt: </w:t>
            </w:r>
            <w:hyperlink r:id="rId8">
              <w:r w:rsidR="00D80E44">
                <w:rPr>
                  <w:color w:val="F25022"/>
                  <w:u w:val="single"/>
                </w:rPr>
                <w:t>CloudLights Copilot-Check-up buchen</w:t>
              </w:r>
            </w:hyperlink>
            <w:r>
              <w:rPr>
                <w:rFonts w:cs="Calibri"/>
                <w:color w:val="666666"/>
                <w:sz w:val="20"/>
              </w:rPr>
              <w:t xml:space="preserve"> | </w:t>
            </w:r>
            <w:hyperlink r:id="rId9">
              <w:r w:rsidR="00D80E44">
                <w:rPr>
                  <w:color w:val="F25022"/>
                  <w:u w:val="single"/>
                </w:rPr>
                <w:t>CloudLights Beratung ansehen</w:t>
              </w:r>
            </w:hyperlink>
          </w:p>
        </w:tc>
      </w:tr>
    </w:tbl>
    <w:p w14:paraId="763C77AC" w14:textId="6DCE0636" w:rsidR="00D80E44" w:rsidRDefault="004530DE">
      <w:pPr>
        <w:pStyle w:val="berschrift1"/>
      </w:pPr>
      <w:bookmarkStart w:id="27" w:name="_Toc236813393"/>
      <w:r>
        <w:rPr>
          <w:rFonts w:cs="Calibri"/>
        </w:rPr>
        <w:t>Schulung, Guidance und KI-Kompetenz</w:t>
      </w:r>
      <w:bookmarkEnd w:id="27"/>
    </w:p>
    <w:p w14:paraId="08C7F58D" w14:textId="77777777" w:rsidR="00D80E44" w:rsidRDefault="004530DE">
      <w:r>
        <w:rPr>
          <w:rFonts w:cs="Calibri"/>
        </w:rPr>
        <w:t>KI-Kompetenz nach Art. 4 AI Act wird als laufende Befähigung verstanden. Ein einmaliger Grundlagenvortrag genügt nicht, wenn sich Funktionen, Datenquellen oder Risikoprofil ändern. Maß und Tiefe der Maßnahmen richten sich nach Rolle, Erfahrungsniveau, System und Einsatzkontext.</w:t>
      </w:r>
    </w:p>
    <w:p w14:paraId="7A23E3A2" w14:textId="38FE20E2" w:rsidR="00D80E44" w:rsidRDefault="004530DE" w:rsidP="00D542F3">
      <w:pPr>
        <w:pStyle w:val="berschrift2"/>
      </w:pPr>
      <w:bookmarkStart w:id="28" w:name="_Toc236813394"/>
      <w:r>
        <w:t>Lernpfade nach Rolle und Risiko</w:t>
      </w:r>
      <w:bookmarkEnd w:id="28"/>
    </w:p>
    <w:tbl>
      <w:tblPr>
        <w:tblW w:w="9780" w:type="dxa"/>
        <w:tblInd w:w="120" w:type="dxa"/>
        <w:tblLayout w:type="fixed"/>
        <w:tblLook w:val="04A0" w:firstRow="1" w:lastRow="0" w:firstColumn="1" w:lastColumn="0" w:noHBand="0" w:noVBand="1"/>
      </w:tblPr>
      <w:tblGrid>
        <w:gridCol w:w="1797"/>
        <w:gridCol w:w="3145"/>
        <w:gridCol w:w="2612"/>
        <w:gridCol w:w="2226"/>
      </w:tblGrid>
      <w:tr w:rsidR="00D80E44" w14:paraId="0E6EDC52" w14:textId="77777777">
        <w:trPr>
          <w:cantSplit/>
          <w:tblHeader/>
        </w:trPr>
        <w:tc>
          <w:tcPr>
            <w:tcW w:w="1797"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4DE0ADA5" w14:textId="77777777" w:rsidR="00D80E44" w:rsidRDefault="004530DE" w:rsidP="00236AE7">
            <w:pPr>
              <w:ind w:left="0"/>
            </w:pPr>
            <w:r>
              <w:rPr>
                <w:rFonts w:cs="Calibri"/>
                <w:b/>
                <w:color w:val="333333"/>
                <w:sz w:val="19"/>
              </w:rPr>
              <w:t>Zielgruppe</w:t>
            </w:r>
          </w:p>
        </w:tc>
        <w:tc>
          <w:tcPr>
            <w:tcW w:w="3145"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3F726D15" w14:textId="77777777" w:rsidR="00D80E44" w:rsidRDefault="004530DE" w:rsidP="00236AE7">
            <w:pPr>
              <w:ind w:left="0"/>
            </w:pPr>
            <w:r>
              <w:rPr>
                <w:rFonts w:cs="Calibri"/>
                <w:b/>
                <w:color w:val="333333"/>
                <w:sz w:val="19"/>
              </w:rPr>
              <w:t>Mindestinhalte</w:t>
            </w:r>
          </w:p>
        </w:tc>
        <w:tc>
          <w:tcPr>
            <w:tcW w:w="2612"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23CF85D0" w14:textId="77777777" w:rsidR="00D80E44" w:rsidRDefault="004530DE" w:rsidP="00236AE7">
            <w:pPr>
              <w:ind w:left="0"/>
            </w:pPr>
            <w:r>
              <w:rPr>
                <w:rFonts w:cs="Calibri"/>
                <w:b/>
                <w:color w:val="333333"/>
                <w:sz w:val="19"/>
              </w:rPr>
              <w:t>Empfohlene Form</w:t>
            </w:r>
          </w:p>
        </w:tc>
        <w:tc>
          <w:tcPr>
            <w:tcW w:w="2226"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6B4D4577" w14:textId="77777777" w:rsidR="00D80E44" w:rsidRDefault="004530DE" w:rsidP="00236AE7">
            <w:pPr>
              <w:ind w:left="0"/>
            </w:pPr>
            <w:r>
              <w:rPr>
                <w:rFonts w:cs="Calibri"/>
                <w:b/>
                <w:color w:val="333333"/>
                <w:sz w:val="19"/>
              </w:rPr>
              <w:t>Nachweis</w:t>
            </w:r>
          </w:p>
        </w:tc>
      </w:tr>
      <w:tr w:rsidR="00D80E44" w14:paraId="4BC86544" w14:textId="77777777">
        <w:trPr>
          <w:cantSplit/>
        </w:trPr>
        <w:tc>
          <w:tcPr>
            <w:tcW w:w="1797" w:type="dxa"/>
          </w:tcPr>
          <w:p w14:paraId="4E06F374" w14:textId="77777777" w:rsidR="00D80E44" w:rsidRDefault="004530DE" w:rsidP="00236AE7">
            <w:pPr>
              <w:spacing w:after="0" w:line="264" w:lineRule="auto"/>
              <w:ind w:left="0"/>
            </w:pPr>
            <w:r>
              <w:rPr>
                <w:rFonts w:cs="Calibri"/>
                <w:sz w:val="18"/>
              </w:rPr>
              <w:t>Alle Nutzenden</w:t>
            </w:r>
          </w:p>
        </w:tc>
        <w:tc>
          <w:tcPr>
            <w:tcW w:w="3145" w:type="dxa"/>
          </w:tcPr>
          <w:p w14:paraId="7BB695C9" w14:textId="77777777" w:rsidR="00D80E44" w:rsidRDefault="004530DE" w:rsidP="00236AE7">
            <w:pPr>
              <w:spacing w:after="0" w:line="264" w:lineRule="auto"/>
              <w:ind w:left="0"/>
            </w:pPr>
            <w:r>
              <w:rPr>
                <w:rFonts w:cs="Calibri"/>
                <w:sz w:val="18"/>
              </w:rPr>
              <w:t>Funktionsgrenzen, Halluzinationen, Datenschutz, Datenklassen, Prompt-Regeln, Quellen- und Qualitätsprüfung, Meldeweg.</w:t>
            </w:r>
          </w:p>
        </w:tc>
        <w:tc>
          <w:tcPr>
            <w:tcW w:w="2612" w:type="dxa"/>
          </w:tcPr>
          <w:p w14:paraId="269D2866" w14:textId="77777777" w:rsidR="00D80E44" w:rsidRDefault="004530DE" w:rsidP="00236AE7">
            <w:pPr>
              <w:spacing w:after="0" w:line="264" w:lineRule="auto"/>
              <w:ind w:left="0"/>
            </w:pPr>
            <w:r>
              <w:rPr>
                <w:rFonts w:cs="Calibri"/>
                <w:sz w:val="18"/>
              </w:rPr>
              <w:t>90 Minuten Praxis-Session vor produktiver Nutzung; kurze FAQ und Office Hours.</w:t>
            </w:r>
          </w:p>
        </w:tc>
        <w:tc>
          <w:tcPr>
            <w:tcW w:w="2226" w:type="dxa"/>
          </w:tcPr>
          <w:p w14:paraId="76238594" w14:textId="77777777" w:rsidR="00D80E44" w:rsidRDefault="004530DE" w:rsidP="00236AE7">
            <w:pPr>
              <w:spacing w:after="0" w:line="264" w:lineRule="auto"/>
              <w:ind w:left="0"/>
            </w:pPr>
            <w:r>
              <w:rPr>
                <w:rFonts w:cs="Calibri"/>
                <w:sz w:val="18"/>
              </w:rPr>
              <w:t>Agenda, Teilnehmerliste, Version der Leitlinie und Kenntnisnahme.</w:t>
            </w:r>
          </w:p>
        </w:tc>
      </w:tr>
      <w:tr w:rsidR="00D80E44" w14:paraId="06C3FBB1" w14:textId="77777777">
        <w:trPr>
          <w:cantSplit/>
        </w:trPr>
        <w:tc>
          <w:tcPr>
            <w:tcW w:w="1797" w:type="dxa"/>
          </w:tcPr>
          <w:p w14:paraId="61E1CE1F" w14:textId="77777777" w:rsidR="00D80E44" w:rsidRDefault="004530DE" w:rsidP="00236AE7">
            <w:pPr>
              <w:spacing w:after="0" w:line="264" w:lineRule="auto"/>
              <w:ind w:left="0"/>
            </w:pPr>
            <w:r>
              <w:rPr>
                <w:rFonts w:cs="Calibri"/>
                <w:sz w:val="18"/>
              </w:rPr>
              <w:t>Führungskräfte</w:t>
            </w:r>
          </w:p>
        </w:tc>
        <w:tc>
          <w:tcPr>
            <w:tcW w:w="3145" w:type="dxa"/>
          </w:tcPr>
          <w:p w14:paraId="2EAD7519" w14:textId="77777777" w:rsidR="00D80E44" w:rsidRDefault="004530DE" w:rsidP="00236AE7">
            <w:pPr>
              <w:spacing w:after="0" w:line="264" w:lineRule="auto"/>
              <w:ind w:left="0"/>
            </w:pPr>
            <w:r>
              <w:rPr>
                <w:rFonts w:cs="Calibri"/>
                <w:sz w:val="18"/>
              </w:rPr>
              <w:t>Pilotentscheidungen, verantwortliche Nutzung, Risikogrenzen, externe Veröffentlichungen, Eskalation und Change-Kommunikation.</w:t>
            </w:r>
          </w:p>
        </w:tc>
        <w:tc>
          <w:tcPr>
            <w:tcW w:w="2612" w:type="dxa"/>
          </w:tcPr>
          <w:p w14:paraId="4F7200E5" w14:textId="77777777" w:rsidR="00D80E44" w:rsidRDefault="004530DE" w:rsidP="00236AE7">
            <w:pPr>
              <w:spacing w:after="0" w:line="264" w:lineRule="auto"/>
              <w:ind w:left="0"/>
            </w:pPr>
            <w:r>
              <w:rPr>
                <w:rFonts w:cs="Calibri"/>
                <w:sz w:val="18"/>
              </w:rPr>
              <w:t>45–60 Minuten Entscheidungsbriefing mit Beispielen aus dem Fachbereich.</w:t>
            </w:r>
          </w:p>
        </w:tc>
        <w:tc>
          <w:tcPr>
            <w:tcW w:w="2226" w:type="dxa"/>
          </w:tcPr>
          <w:p w14:paraId="63992F99" w14:textId="77777777" w:rsidR="00D80E44" w:rsidRDefault="004530DE" w:rsidP="00236AE7">
            <w:pPr>
              <w:spacing w:after="0" w:line="264" w:lineRule="auto"/>
              <w:ind w:left="0"/>
            </w:pPr>
            <w:r>
              <w:rPr>
                <w:rFonts w:cs="Calibri"/>
                <w:sz w:val="18"/>
              </w:rPr>
              <w:t>Briefingunterlagen, Teilnehmerkreis, Beschlüsse und offene Auflagen.</w:t>
            </w:r>
          </w:p>
        </w:tc>
      </w:tr>
      <w:tr w:rsidR="00D80E44" w:rsidRPr="0025585B" w14:paraId="67D88572" w14:textId="77777777">
        <w:trPr>
          <w:cantSplit/>
        </w:trPr>
        <w:tc>
          <w:tcPr>
            <w:tcW w:w="1797" w:type="dxa"/>
          </w:tcPr>
          <w:p w14:paraId="279B797D" w14:textId="77777777" w:rsidR="00D80E44" w:rsidRDefault="004530DE" w:rsidP="00236AE7">
            <w:pPr>
              <w:spacing w:after="0" w:line="264" w:lineRule="auto"/>
              <w:ind w:left="0"/>
            </w:pPr>
            <w:r>
              <w:rPr>
                <w:rFonts w:cs="Calibri"/>
                <w:sz w:val="18"/>
              </w:rPr>
              <w:t>Fachverantwortliche und Champions</w:t>
            </w:r>
          </w:p>
        </w:tc>
        <w:tc>
          <w:tcPr>
            <w:tcW w:w="3145" w:type="dxa"/>
          </w:tcPr>
          <w:p w14:paraId="12906F21" w14:textId="77777777" w:rsidR="00D80E44" w:rsidRDefault="004530DE" w:rsidP="00236AE7">
            <w:pPr>
              <w:spacing w:after="0" w:line="264" w:lineRule="auto"/>
              <w:ind w:left="0"/>
            </w:pPr>
            <w:r>
              <w:rPr>
                <w:rFonts w:cs="Calibri"/>
                <w:sz w:val="18"/>
              </w:rPr>
              <w:t>Use-Case-Steckbrief, Qualitätskriterien, Datenminimierung, menschliche Prüfung, Feedback und Risikomeldung.</w:t>
            </w:r>
          </w:p>
        </w:tc>
        <w:tc>
          <w:tcPr>
            <w:tcW w:w="2612" w:type="dxa"/>
          </w:tcPr>
          <w:p w14:paraId="4A03F9BD" w14:textId="77777777" w:rsidR="00D80E44" w:rsidRDefault="004530DE" w:rsidP="00236AE7">
            <w:pPr>
              <w:spacing w:after="0" w:line="264" w:lineRule="auto"/>
              <w:ind w:left="0"/>
            </w:pPr>
            <w:r>
              <w:rPr>
                <w:rFonts w:cs="Calibri"/>
                <w:sz w:val="18"/>
              </w:rPr>
              <w:t>Zwei Stunden Workshop mit eigenen Arbeitsfällen und Reviewübung.</w:t>
            </w:r>
          </w:p>
        </w:tc>
        <w:tc>
          <w:tcPr>
            <w:tcW w:w="2226" w:type="dxa"/>
          </w:tcPr>
          <w:p w14:paraId="15909CB5" w14:textId="77777777" w:rsidR="00D80E44" w:rsidRPr="00D542F3" w:rsidRDefault="004530DE" w:rsidP="00236AE7">
            <w:pPr>
              <w:spacing w:after="0" w:line="264" w:lineRule="auto"/>
              <w:ind w:left="0"/>
              <w:rPr>
                <w:lang w:val="en-US"/>
              </w:rPr>
            </w:pPr>
            <w:r w:rsidRPr="00D542F3">
              <w:rPr>
                <w:rFonts w:cs="Calibri"/>
                <w:sz w:val="18"/>
                <w:lang w:val="en-US"/>
              </w:rPr>
              <w:t>Use-Case-Canvas, Übungen, Champion-Liste und Reviewtermine.</w:t>
            </w:r>
          </w:p>
        </w:tc>
      </w:tr>
      <w:tr w:rsidR="00D80E44" w14:paraId="6C7AC3DC" w14:textId="77777777">
        <w:trPr>
          <w:cantSplit/>
        </w:trPr>
        <w:tc>
          <w:tcPr>
            <w:tcW w:w="1797" w:type="dxa"/>
          </w:tcPr>
          <w:p w14:paraId="7884615E" w14:textId="77777777" w:rsidR="00D80E44" w:rsidRPr="00D542F3" w:rsidRDefault="004530DE" w:rsidP="00236AE7">
            <w:pPr>
              <w:spacing w:after="0" w:line="264" w:lineRule="auto"/>
              <w:ind w:left="0"/>
              <w:rPr>
                <w:lang w:val="en-US"/>
              </w:rPr>
            </w:pPr>
            <w:r w:rsidRPr="00D542F3">
              <w:rPr>
                <w:rFonts w:cs="Calibri"/>
                <w:sz w:val="18"/>
                <w:lang w:val="en-US"/>
              </w:rPr>
              <w:t>Admins, Security und Power User</w:t>
            </w:r>
          </w:p>
        </w:tc>
        <w:tc>
          <w:tcPr>
            <w:tcW w:w="3145" w:type="dxa"/>
          </w:tcPr>
          <w:p w14:paraId="09985620" w14:textId="77777777" w:rsidR="00D80E44" w:rsidRPr="00D542F3" w:rsidRDefault="004530DE" w:rsidP="00236AE7">
            <w:pPr>
              <w:spacing w:after="0" w:line="264" w:lineRule="auto"/>
              <w:ind w:left="0"/>
              <w:rPr>
                <w:lang w:val="en-US"/>
              </w:rPr>
            </w:pPr>
            <w:r w:rsidRPr="00D542F3">
              <w:rPr>
                <w:rFonts w:cs="Calibri"/>
                <w:sz w:val="18"/>
                <w:lang w:val="en-US"/>
              </w:rPr>
              <w:t>Berechtigungen, Purview, Labels, DLP, Audit, Agents, Connectoren, Web Grounding, Incident Response und Change-Management.</w:t>
            </w:r>
          </w:p>
        </w:tc>
        <w:tc>
          <w:tcPr>
            <w:tcW w:w="2612" w:type="dxa"/>
          </w:tcPr>
          <w:p w14:paraId="342CD095" w14:textId="77777777" w:rsidR="00D80E44" w:rsidRDefault="004530DE" w:rsidP="00236AE7">
            <w:pPr>
              <w:spacing w:after="0" w:line="264" w:lineRule="auto"/>
              <w:ind w:left="0"/>
            </w:pPr>
            <w:r>
              <w:rPr>
                <w:rFonts w:cs="Calibri"/>
                <w:sz w:val="18"/>
              </w:rPr>
              <w:t>Halbtag mit Mandantenbezug, Testfällen und Runbook-Durchgang.</w:t>
            </w:r>
          </w:p>
        </w:tc>
        <w:tc>
          <w:tcPr>
            <w:tcW w:w="2226" w:type="dxa"/>
          </w:tcPr>
          <w:p w14:paraId="364ABE7E" w14:textId="77777777" w:rsidR="00D80E44" w:rsidRDefault="004530DE" w:rsidP="00236AE7">
            <w:pPr>
              <w:spacing w:after="0" w:line="264" w:lineRule="auto"/>
              <w:ind w:left="0"/>
            </w:pPr>
            <w:r>
              <w:rPr>
                <w:rFonts w:cs="Calibri"/>
                <w:sz w:val="18"/>
              </w:rPr>
              <w:t>Technische Agenda, Testprotokoll, Rollenliste und Maßnahmenlog.</w:t>
            </w:r>
          </w:p>
        </w:tc>
      </w:tr>
      <w:tr w:rsidR="00D80E44" w14:paraId="62E2568B" w14:textId="77777777">
        <w:trPr>
          <w:cantSplit/>
        </w:trPr>
        <w:tc>
          <w:tcPr>
            <w:tcW w:w="1797" w:type="dxa"/>
          </w:tcPr>
          <w:p w14:paraId="3CB8B1D4" w14:textId="77777777" w:rsidR="00D80E44" w:rsidRDefault="004530DE" w:rsidP="00236AE7">
            <w:pPr>
              <w:spacing w:after="0" w:line="264" w:lineRule="auto"/>
              <w:ind w:left="0"/>
            </w:pPr>
            <w:r>
              <w:rPr>
                <w:rFonts w:cs="Calibri"/>
                <w:sz w:val="18"/>
              </w:rPr>
              <w:t>HR, Kommunikation und Content-Verantwortliche</w:t>
            </w:r>
          </w:p>
        </w:tc>
        <w:tc>
          <w:tcPr>
            <w:tcW w:w="3145" w:type="dxa"/>
          </w:tcPr>
          <w:p w14:paraId="148AE2DE" w14:textId="77777777" w:rsidR="00D80E44" w:rsidRDefault="004530DE" w:rsidP="00236AE7">
            <w:pPr>
              <w:spacing w:after="0" w:line="264" w:lineRule="auto"/>
              <w:ind w:left="0"/>
            </w:pPr>
            <w:r>
              <w:rPr>
                <w:rFonts w:cs="Calibri"/>
                <w:sz w:val="18"/>
              </w:rPr>
              <w:t>Beschäftigtenbezug, rote Use Cases, Transparenz nach Art. 50, Deepfakes, Veröffentlichung und redaktionelle Verantwortung.</w:t>
            </w:r>
          </w:p>
        </w:tc>
        <w:tc>
          <w:tcPr>
            <w:tcW w:w="2612" w:type="dxa"/>
          </w:tcPr>
          <w:p w14:paraId="2F2E11C0" w14:textId="77777777" w:rsidR="00D80E44" w:rsidRDefault="004530DE" w:rsidP="00236AE7">
            <w:pPr>
              <w:spacing w:after="0" w:line="264" w:lineRule="auto"/>
              <w:ind w:left="0"/>
            </w:pPr>
            <w:r>
              <w:rPr>
                <w:rFonts w:cs="Calibri"/>
                <w:sz w:val="18"/>
              </w:rPr>
              <w:t>Rollenmodul mit Freigabe- und Kennzeichnungsfällen.</w:t>
            </w:r>
          </w:p>
        </w:tc>
        <w:tc>
          <w:tcPr>
            <w:tcW w:w="2226" w:type="dxa"/>
          </w:tcPr>
          <w:p w14:paraId="156BC7F2" w14:textId="77777777" w:rsidR="00D80E44" w:rsidRDefault="004530DE" w:rsidP="00236AE7">
            <w:pPr>
              <w:spacing w:after="0" w:line="264" w:lineRule="auto"/>
              <w:ind w:left="0"/>
            </w:pPr>
            <w:r>
              <w:rPr>
                <w:rFonts w:cs="Calibri"/>
                <w:sz w:val="18"/>
              </w:rPr>
              <w:t>Sonderunterweisung, Freigabevorlage und Eskalationsweg.</w:t>
            </w:r>
          </w:p>
        </w:tc>
      </w:tr>
    </w:tbl>
    <w:p w14:paraId="201F0537" w14:textId="77777777" w:rsidR="00D80E44" w:rsidRDefault="00D80E44">
      <w:pPr>
        <w:spacing w:after="0"/>
      </w:pPr>
    </w:p>
    <w:p w14:paraId="6117C5FA" w14:textId="03890619" w:rsidR="00D80E44" w:rsidRDefault="004530DE" w:rsidP="00D542F3">
      <w:pPr>
        <w:pStyle w:val="berschrift2"/>
      </w:pPr>
      <w:bookmarkStart w:id="29" w:name="_Toc236813395"/>
      <w:r>
        <w:t>Inhalt eines wirksamen Schulungsprogramms</w:t>
      </w:r>
      <w:bookmarkEnd w:id="29"/>
    </w:p>
    <w:tbl>
      <w:tblPr>
        <w:tblW w:w="9780" w:type="dxa"/>
        <w:tblInd w:w="120" w:type="dxa"/>
        <w:tblLayout w:type="fixed"/>
        <w:tblLook w:val="04A0" w:firstRow="1" w:lastRow="0" w:firstColumn="1" w:lastColumn="0" w:noHBand="0" w:noVBand="1"/>
      </w:tblPr>
      <w:tblGrid>
        <w:gridCol w:w="2215"/>
        <w:gridCol w:w="4033"/>
        <w:gridCol w:w="3532"/>
      </w:tblGrid>
      <w:tr w:rsidR="00D80E44" w14:paraId="2C9EAD90" w14:textId="77777777">
        <w:trPr>
          <w:cantSplit/>
          <w:tblHeader/>
        </w:trPr>
        <w:tc>
          <w:tcPr>
            <w:tcW w:w="2215"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6812EE18" w14:textId="77777777" w:rsidR="00D80E44" w:rsidRDefault="004530DE" w:rsidP="00236AE7">
            <w:pPr>
              <w:ind w:left="0"/>
            </w:pPr>
            <w:r>
              <w:rPr>
                <w:rFonts w:cs="Calibri"/>
                <w:b/>
                <w:color w:val="333333"/>
                <w:sz w:val="19"/>
              </w:rPr>
              <w:t>Modul</w:t>
            </w:r>
          </w:p>
        </w:tc>
        <w:tc>
          <w:tcPr>
            <w:tcW w:w="4033"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39450C99" w14:textId="77777777" w:rsidR="00D80E44" w:rsidRDefault="004530DE" w:rsidP="00236AE7">
            <w:pPr>
              <w:ind w:left="0"/>
            </w:pPr>
            <w:r>
              <w:rPr>
                <w:rFonts w:cs="Calibri"/>
                <w:b/>
                <w:color w:val="333333"/>
                <w:sz w:val="19"/>
              </w:rPr>
              <w:t>Kernfrage</w:t>
            </w:r>
          </w:p>
        </w:tc>
        <w:tc>
          <w:tcPr>
            <w:tcW w:w="3532"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2901296B" w14:textId="77777777" w:rsidR="00D80E44" w:rsidRDefault="004530DE" w:rsidP="00236AE7">
            <w:pPr>
              <w:ind w:left="0"/>
            </w:pPr>
            <w:r>
              <w:rPr>
                <w:rFonts w:cs="Calibri"/>
                <w:b/>
                <w:color w:val="333333"/>
                <w:sz w:val="19"/>
              </w:rPr>
              <w:t>Konkretes Lernergebnis</w:t>
            </w:r>
          </w:p>
        </w:tc>
      </w:tr>
      <w:tr w:rsidR="00D80E44" w14:paraId="48C9F881" w14:textId="77777777">
        <w:trPr>
          <w:cantSplit/>
        </w:trPr>
        <w:tc>
          <w:tcPr>
            <w:tcW w:w="2215" w:type="dxa"/>
          </w:tcPr>
          <w:p w14:paraId="5E752FEC" w14:textId="77777777" w:rsidR="00D80E44" w:rsidRDefault="004530DE" w:rsidP="00236AE7">
            <w:pPr>
              <w:spacing w:after="0" w:line="264" w:lineRule="auto"/>
              <w:ind w:left="0"/>
            </w:pPr>
            <w:r>
              <w:rPr>
                <w:rFonts w:cs="Calibri"/>
                <w:sz w:val="18"/>
              </w:rPr>
              <w:t>1. Chancen und Grenzen</w:t>
            </w:r>
          </w:p>
        </w:tc>
        <w:tc>
          <w:tcPr>
            <w:tcW w:w="4033" w:type="dxa"/>
          </w:tcPr>
          <w:p w14:paraId="50BC5CEE" w14:textId="77777777" w:rsidR="00D80E44" w:rsidRDefault="004530DE" w:rsidP="00236AE7">
            <w:pPr>
              <w:spacing w:after="0" w:line="264" w:lineRule="auto"/>
              <w:ind w:left="0"/>
            </w:pPr>
            <w:r>
              <w:rPr>
                <w:rFonts w:cs="Calibri"/>
                <w:sz w:val="18"/>
              </w:rPr>
              <w:t>Wofür ist Copilot gut – und wo kann die Ausgabe falsch, unvollständig oder irreführend sein?</w:t>
            </w:r>
          </w:p>
        </w:tc>
        <w:tc>
          <w:tcPr>
            <w:tcW w:w="3532" w:type="dxa"/>
          </w:tcPr>
          <w:p w14:paraId="6545FB63" w14:textId="77777777" w:rsidR="00D80E44" w:rsidRDefault="004530DE" w:rsidP="00236AE7">
            <w:pPr>
              <w:spacing w:after="0" w:line="264" w:lineRule="auto"/>
              <w:ind w:left="0"/>
            </w:pPr>
            <w:r>
              <w:rPr>
                <w:rFonts w:cs="Calibri"/>
                <w:sz w:val="18"/>
              </w:rPr>
              <w:t>Nutzende verstehen, dass KI-Ausgaben Entwürfe sind und fachlich geprüft werden müssen.</w:t>
            </w:r>
          </w:p>
        </w:tc>
      </w:tr>
      <w:tr w:rsidR="00D80E44" w14:paraId="3808A672" w14:textId="77777777">
        <w:trPr>
          <w:cantSplit/>
        </w:trPr>
        <w:tc>
          <w:tcPr>
            <w:tcW w:w="2215" w:type="dxa"/>
          </w:tcPr>
          <w:p w14:paraId="074F4A27" w14:textId="77777777" w:rsidR="00D80E44" w:rsidRDefault="004530DE" w:rsidP="00236AE7">
            <w:pPr>
              <w:spacing w:after="0" w:line="264" w:lineRule="auto"/>
              <w:ind w:left="0"/>
            </w:pPr>
            <w:r>
              <w:rPr>
                <w:rFonts w:cs="Calibri"/>
                <w:sz w:val="18"/>
              </w:rPr>
              <w:t>2. Daten und Vertraulichkeit</w:t>
            </w:r>
          </w:p>
        </w:tc>
        <w:tc>
          <w:tcPr>
            <w:tcW w:w="4033" w:type="dxa"/>
          </w:tcPr>
          <w:p w14:paraId="07DC731E" w14:textId="77777777" w:rsidR="00D80E44" w:rsidRDefault="004530DE" w:rsidP="00236AE7">
            <w:pPr>
              <w:spacing w:after="0" w:line="264" w:lineRule="auto"/>
              <w:ind w:left="0"/>
            </w:pPr>
            <w:r>
              <w:rPr>
                <w:rFonts w:cs="Calibri"/>
                <w:sz w:val="18"/>
              </w:rPr>
              <w:t>Welche Daten dürfen in welchem freigegebenen Kontext verarbeitet werden?</w:t>
            </w:r>
          </w:p>
        </w:tc>
        <w:tc>
          <w:tcPr>
            <w:tcW w:w="3532" w:type="dxa"/>
          </w:tcPr>
          <w:p w14:paraId="2F38FB2C" w14:textId="77777777" w:rsidR="00D80E44" w:rsidRDefault="004530DE" w:rsidP="00236AE7">
            <w:pPr>
              <w:spacing w:after="0" w:line="264" w:lineRule="auto"/>
              <w:ind w:left="0"/>
            </w:pPr>
            <w:r>
              <w:rPr>
                <w:rFonts w:cs="Calibri"/>
                <w:sz w:val="18"/>
              </w:rPr>
              <w:t>Nutzende erkennen rote Daten, minimieren Eingaben und wissen, wann sie eskalieren müssen.</w:t>
            </w:r>
          </w:p>
        </w:tc>
      </w:tr>
      <w:tr w:rsidR="00D80E44" w14:paraId="151398A3" w14:textId="77777777">
        <w:trPr>
          <w:cantSplit/>
        </w:trPr>
        <w:tc>
          <w:tcPr>
            <w:tcW w:w="2215" w:type="dxa"/>
          </w:tcPr>
          <w:p w14:paraId="3EE626A0" w14:textId="77777777" w:rsidR="00D80E44" w:rsidRDefault="004530DE" w:rsidP="00236AE7">
            <w:pPr>
              <w:spacing w:after="0" w:line="264" w:lineRule="auto"/>
              <w:ind w:left="0"/>
            </w:pPr>
            <w:r>
              <w:rPr>
                <w:rFonts w:cs="Calibri"/>
                <w:sz w:val="18"/>
              </w:rPr>
              <w:t>3. Prompting und Qualitätsprüfung</w:t>
            </w:r>
          </w:p>
        </w:tc>
        <w:tc>
          <w:tcPr>
            <w:tcW w:w="4033" w:type="dxa"/>
          </w:tcPr>
          <w:p w14:paraId="1E649F58" w14:textId="77777777" w:rsidR="00D80E44" w:rsidRDefault="004530DE" w:rsidP="00236AE7">
            <w:pPr>
              <w:spacing w:after="0" w:line="264" w:lineRule="auto"/>
              <w:ind w:left="0"/>
            </w:pPr>
            <w:r>
              <w:rPr>
                <w:rFonts w:cs="Calibri"/>
                <w:sz w:val="18"/>
              </w:rPr>
              <w:t>Wie entstehen nachvollziehbare Ergebnisse und wie werden Fakten, Quellen, Zahlen und Rechte Dritter geprüft?</w:t>
            </w:r>
          </w:p>
        </w:tc>
        <w:tc>
          <w:tcPr>
            <w:tcW w:w="3532" w:type="dxa"/>
          </w:tcPr>
          <w:p w14:paraId="1541B6EF" w14:textId="77777777" w:rsidR="00D80E44" w:rsidRDefault="004530DE" w:rsidP="00236AE7">
            <w:pPr>
              <w:spacing w:after="0" w:line="264" w:lineRule="auto"/>
              <w:ind w:left="0"/>
            </w:pPr>
            <w:r>
              <w:rPr>
                <w:rFonts w:cs="Calibri"/>
                <w:sz w:val="18"/>
              </w:rPr>
              <w:t>Nutzende wenden eine klare Prüfroutine vor Weitergabe oder Veröffentlichung an.</w:t>
            </w:r>
          </w:p>
        </w:tc>
      </w:tr>
      <w:tr w:rsidR="00D80E44" w14:paraId="0CBC43F7" w14:textId="77777777">
        <w:trPr>
          <w:cantSplit/>
        </w:trPr>
        <w:tc>
          <w:tcPr>
            <w:tcW w:w="2215" w:type="dxa"/>
          </w:tcPr>
          <w:p w14:paraId="2BD36654" w14:textId="77777777" w:rsidR="00D80E44" w:rsidRDefault="004530DE" w:rsidP="00236AE7">
            <w:pPr>
              <w:spacing w:after="0" w:line="264" w:lineRule="auto"/>
              <w:ind w:left="0"/>
            </w:pPr>
            <w:r>
              <w:rPr>
                <w:rFonts w:cs="Calibri"/>
                <w:sz w:val="18"/>
              </w:rPr>
              <w:t>4. Eigene Rolle und Eskalation</w:t>
            </w:r>
          </w:p>
        </w:tc>
        <w:tc>
          <w:tcPr>
            <w:tcW w:w="4033" w:type="dxa"/>
          </w:tcPr>
          <w:p w14:paraId="6809786F" w14:textId="77777777" w:rsidR="00D80E44" w:rsidRDefault="004530DE" w:rsidP="00236AE7">
            <w:pPr>
              <w:spacing w:after="0" w:line="264" w:lineRule="auto"/>
              <w:ind w:left="0"/>
            </w:pPr>
            <w:r>
              <w:rPr>
                <w:rFonts w:cs="Calibri"/>
                <w:sz w:val="18"/>
              </w:rPr>
              <w:t>Wer entscheidet, wenn ein Use Case, Connector, Output oder Vorfall unklar ist?</w:t>
            </w:r>
          </w:p>
        </w:tc>
        <w:tc>
          <w:tcPr>
            <w:tcW w:w="3532" w:type="dxa"/>
          </w:tcPr>
          <w:p w14:paraId="4E5E24F2" w14:textId="77777777" w:rsidR="00D80E44" w:rsidRDefault="004530DE" w:rsidP="00236AE7">
            <w:pPr>
              <w:spacing w:after="0" w:line="264" w:lineRule="auto"/>
              <w:ind w:left="0"/>
            </w:pPr>
            <w:r>
              <w:rPr>
                <w:rFonts w:cs="Calibri"/>
                <w:sz w:val="18"/>
              </w:rPr>
              <w:t>Nutzende kennen Ansprechpartner, Meldeweg und Grenzen ihrer Entscheidungsbefugnis.</w:t>
            </w:r>
          </w:p>
        </w:tc>
      </w:tr>
      <w:tr w:rsidR="00D80E44" w14:paraId="394A02EE" w14:textId="77777777">
        <w:trPr>
          <w:cantSplit/>
        </w:trPr>
        <w:tc>
          <w:tcPr>
            <w:tcW w:w="2215" w:type="dxa"/>
          </w:tcPr>
          <w:p w14:paraId="2D880B5C" w14:textId="77777777" w:rsidR="00D80E44" w:rsidRDefault="004530DE" w:rsidP="00236AE7">
            <w:pPr>
              <w:spacing w:after="0" w:line="264" w:lineRule="auto"/>
              <w:ind w:left="0"/>
            </w:pPr>
            <w:r>
              <w:rPr>
                <w:rFonts w:cs="Calibri"/>
                <w:sz w:val="18"/>
              </w:rPr>
              <w:t>5. Praxis im eigenen Kontext</w:t>
            </w:r>
          </w:p>
        </w:tc>
        <w:tc>
          <w:tcPr>
            <w:tcW w:w="4033" w:type="dxa"/>
          </w:tcPr>
          <w:p w14:paraId="57289DD7" w14:textId="77777777" w:rsidR="00D80E44" w:rsidRDefault="004530DE" w:rsidP="00236AE7">
            <w:pPr>
              <w:spacing w:after="0" w:line="264" w:lineRule="auto"/>
              <w:ind w:left="0"/>
            </w:pPr>
            <w:r>
              <w:rPr>
                <w:rFonts w:cs="Calibri"/>
                <w:sz w:val="18"/>
              </w:rPr>
              <w:t>Wie sehen sichere und unsichere Fälle im konkreten Arbeitsalltag aus?</w:t>
            </w:r>
          </w:p>
        </w:tc>
        <w:tc>
          <w:tcPr>
            <w:tcW w:w="3532" w:type="dxa"/>
          </w:tcPr>
          <w:p w14:paraId="4C3C1DA4" w14:textId="77777777" w:rsidR="00D80E44" w:rsidRDefault="004530DE" w:rsidP="00236AE7">
            <w:pPr>
              <w:spacing w:after="0" w:line="264" w:lineRule="auto"/>
              <w:ind w:left="0"/>
            </w:pPr>
            <w:r>
              <w:rPr>
                <w:rFonts w:cs="Calibri"/>
                <w:sz w:val="18"/>
              </w:rPr>
              <w:t>Die Zielgruppe kann mindestens zwei eigene Beispiel-Use-Cases korrekt einordnen.</w:t>
            </w:r>
          </w:p>
        </w:tc>
      </w:tr>
    </w:tbl>
    <w:p w14:paraId="675F42F2" w14:textId="77777777" w:rsidR="00D80E44" w:rsidRDefault="00D80E44">
      <w:pPr>
        <w:spacing w:after="0"/>
      </w:pPr>
    </w:p>
    <w:p w14:paraId="4C9819A0" w14:textId="020C835E" w:rsidR="00D80E44" w:rsidRDefault="004530DE" w:rsidP="00D542F3">
      <w:pPr>
        <w:pStyle w:val="berschrift2"/>
      </w:pPr>
      <w:bookmarkStart w:id="30" w:name="_Toc236813396"/>
      <w:r>
        <w:t>Nachweise, Auffrischung und Wirksamkeitskontrolle</w:t>
      </w:r>
      <w:bookmarkEnd w:id="30"/>
    </w:p>
    <w:p w14:paraId="021BF58E" w14:textId="77777777" w:rsidR="00D80E44" w:rsidRDefault="004530DE">
      <w:pPr>
        <w:pStyle w:val="Listenabsatz"/>
        <w:ind w:left="720" w:hanging="360"/>
      </w:pPr>
      <w:r>
        <w:rPr>
          <w:rFonts w:cs="Calibri"/>
        </w:rPr>
        <w:t>Curriculum, Unterlagen, Versionsstand, Zielgruppe, Durchführungstermin und verantwortliche Person dokumentieren.</w:t>
      </w:r>
    </w:p>
    <w:p w14:paraId="05A807AE" w14:textId="77777777" w:rsidR="00D80E44" w:rsidRDefault="004530DE">
      <w:pPr>
        <w:pStyle w:val="Listenabsatz"/>
        <w:ind w:left="720" w:hanging="360"/>
      </w:pPr>
      <w:r>
        <w:rPr>
          <w:rFonts w:cs="Calibri"/>
        </w:rPr>
        <w:t>Teilnahme und Kenntnisnahme der Nutzungsleitlinie nachvollziehbar festhalten; reine Anwesenheit ersetzt keine praxisnahe Guidance.</w:t>
      </w:r>
    </w:p>
    <w:p w14:paraId="1A3B4F72" w14:textId="77777777" w:rsidR="00D80E44" w:rsidRDefault="004530DE">
      <w:pPr>
        <w:pStyle w:val="Listenabsatz"/>
        <w:ind w:left="720" w:hanging="360"/>
      </w:pPr>
      <w:r>
        <w:rPr>
          <w:rFonts w:cs="Calibri"/>
        </w:rPr>
        <w:t>Kurze Wissens- oder Fallbeispiele nutzen: Datenklasse erkennen, Halluzination prüfen, Agenten-/Connector-Freigabe einordnen und richtigen Meldeweg benennen.</w:t>
      </w:r>
    </w:p>
    <w:p w14:paraId="7063797B" w14:textId="77777777" w:rsidR="00D80E44" w:rsidRDefault="004530DE">
      <w:pPr>
        <w:pStyle w:val="Listenabsatz"/>
        <w:ind w:left="720" w:hanging="360"/>
      </w:pPr>
      <w:r>
        <w:rPr>
          <w:rFonts w:cs="Calibri"/>
        </w:rPr>
        <w:t>Auffrischung bei neuen Funktionen, relevanten Datenquellen, neuen Agents, Regeländerungen oder erkannten Fehlanwendungen vorsehen.</w:t>
      </w:r>
    </w:p>
    <w:p w14:paraId="333853AA" w14:textId="77777777" w:rsidR="00D80E44" w:rsidRDefault="004530DE">
      <w:pPr>
        <w:pStyle w:val="Listenabsatz"/>
        <w:ind w:left="720" w:hanging="360"/>
      </w:pPr>
      <w:r>
        <w:rPr>
          <w:rFonts w:cs="Calibri"/>
        </w:rPr>
        <w:t>Monatlich Pilotfeedback und offene Fragen bündeln; daraus FAQ, Office Hours und zielgruppengerechte Nachsteuerung ableiten.</w:t>
      </w:r>
    </w:p>
    <w:p w14:paraId="12EE7940" w14:textId="343D29A0" w:rsidR="00D80E44" w:rsidRDefault="004530DE" w:rsidP="00D542F3">
      <w:pPr>
        <w:pStyle w:val="berschrift2"/>
      </w:pPr>
      <w:bookmarkStart w:id="31" w:name="_Toc236813397"/>
      <w:r>
        <w:t>Entscheidungspunkt: Schulungs- und Kompetenznachweis</w:t>
      </w:r>
      <w:bookmarkEnd w:id="31"/>
    </w:p>
    <w:tbl>
      <w:tblPr>
        <w:tblW w:w="9780" w:type="dxa"/>
        <w:tblInd w:w="120" w:type="dxa"/>
        <w:tblLayout w:type="fixed"/>
        <w:tblLook w:val="04A0" w:firstRow="1" w:lastRow="0" w:firstColumn="1" w:lastColumn="0" w:noHBand="0" w:noVBand="1"/>
      </w:tblPr>
      <w:tblGrid>
        <w:gridCol w:w="9780"/>
      </w:tblGrid>
      <w:tr w:rsidR="00D80E44" w14:paraId="08AAD01F" w14:textId="77777777">
        <w:tc>
          <w:tcPr>
            <w:tcW w:w="9780" w:type="dxa"/>
            <w:tcBorders>
              <w:top w:val="single" w:sz="12" w:space="0" w:color="22B24C"/>
              <w:left w:val="single" w:sz="12" w:space="0" w:color="22B24C"/>
              <w:bottom w:val="single" w:sz="12" w:space="0" w:color="22B24C"/>
              <w:right w:val="single" w:sz="12" w:space="0" w:color="22B24C"/>
            </w:tcBorders>
            <w:shd w:val="clear" w:color="auto" w:fill="EDF8F0"/>
            <w:tcMar>
              <w:top w:w="80" w:type="dxa"/>
              <w:left w:w="120" w:type="dxa"/>
              <w:bottom w:w="80" w:type="dxa"/>
              <w:right w:w="120" w:type="dxa"/>
            </w:tcMar>
            <w:vAlign w:val="center"/>
          </w:tcPr>
          <w:p w14:paraId="61AE5394" w14:textId="77777777" w:rsidR="00D80E44" w:rsidRDefault="004530DE">
            <w:pPr>
              <w:spacing w:after="60"/>
            </w:pPr>
            <w:r>
              <w:rPr>
                <w:rFonts w:cs="Calibri"/>
                <w:b/>
                <w:color w:val="333333"/>
                <w:sz w:val="21"/>
              </w:rPr>
              <w:t>Sind Schulungen und KI-Kompetenzmaßnahmen geplant, durchgeführt und dokumentiert?</w:t>
            </w:r>
          </w:p>
          <w:p w14:paraId="77C951F8" w14:textId="77777777" w:rsidR="00D80E44" w:rsidRDefault="004530DE">
            <w:pPr>
              <w:spacing w:after="100"/>
            </w:pPr>
            <w:r>
              <w:rPr>
                <w:rFonts w:cs="Calibri"/>
                <w:sz w:val="20"/>
              </w:rPr>
              <w:t>Falls nein: Vor dem produktiven Rollout sollte ein rollenbezogenes Schulungs- und Guidance-Konzept mit Terminplan, Nachweisen, Praxisfällen und Auffrischungslogik stehen.</w:t>
            </w:r>
          </w:p>
          <w:p w14:paraId="015A84F1" w14:textId="69342415" w:rsidR="00D80E44" w:rsidRDefault="004530DE">
            <w:pPr>
              <w:spacing w:after="0"/>
            </w:pPr>
            <w:r>
              <w:rPr>
                <w:rFonts w:cs="Calibri"/>
                <w:b/>
                <w:color w:val="333333"/>
                <w:sz w:val="20"/>
              </w:rPr>
              <w:t xml:space="preserve">Nächster Schritt: </w:t>
            </w:r>
            <w:hyperlink r:id="rId10">
              <w:r w:rsidR="00D80E44">
                <w:rPr>
                  <w:color w:val="F25022"/>
                  <w:u w:val="single"/>
                </w:rPr>
                <w:t>CloudLights KI-/Copilot-Schulung besprechen</w:t>
              </w:r>
            </w:hyperlink>
            <w:r>
              <w:rPr>
                <w:rFonts w:cs="Calibri"/>
                <w:color w:val="666666"/>
                <w:sz w:val="20"/>
              </w:rPr>
              <w:t xml:space="preserve"> | </w:t>
            </w:r>
            <w:hyperlink r:id="rId11">
              <w:r w:rsidR="00D80E44">
                <w:rPr>
                  <w:color w:val="F25022"/>
                  <w:u w:val="single"/>
                </w:rPr>
                <w:t>Microsoft-365-Weiterbildung ansehen</w:t>
              </w:r>
            </w:hyperlink>
          </w:p>
        </w:tc>
      </w:tr>
    </w:tbl>
    <w:p w14:paraId="1BFEDC14" w14:textId="77777777" w:rsidR="00D80E44" w:rsidRDefault="00D80E44">
      <w:pPr>
        <w:spacing w:after="0"/>
      </w:pPr>
    </w:p>
    <w:p w14:paraId="31520087" w14:textId="77777777" w:rsidR="00D542F3" w:rsidRDefault="00D542F3">
      <w:pPr>
        <w:tabs>
          <w:tab w:val="clear" w:pos="9780"/>
        </w:tabs>
        <w:spacing w:after="200" w:line="276" w:lineRule="auto"/>
        <w:ind w:left="0"/>
        <w:rPr>
          <w:rFonts w:cs="Calibri"/>
          <w:b/>
          <w:color w:val="F25022"/>
          <w:sz w:val="36"/>
          <w:szCs w:val="36"/>
        </w:rPr>
      </w:pPr>
      <w:r>
        <w:rPr>
          <w:rFonts w:cs="Calibri"/>
        </w:rPr>
        <w:br w:type="page"/>
      </w:r>
    </w:p>
    <w:p w14:paraId="1B4DADB1" w14:textId="5C653292" w:rsidR="00D80E44" w:rsidRDefault="004530DE">
      <w:pPr>
        <w:pStyle w:val="berschrift1"/>
      </w:pPr>
      <w:bookmarkStart w:id="32" w:name="_Toc236813398"/>
      <w:r>
        <w:rPr>
          <w:rFonts w:cs="Calibri"/>
        </w:rPr>
        <w:t>CloudLights: Check-up und Schulungsbegleitung</w:t>
      </w:r>
      <w:bookmarkEnd w:id="32"/>
    </w:p>
    <w:p w14:paraId="0E0D26E6" w14:textId="77777777" w:rsidR="00D80E44" w:rsidRDefault="004530DE">
      <w:r>
        <w:rPr>
          <w:rFonts w:cs="Calibri"/>
        </w:rPr>
        <w:t>Wenn einzelne Freigabevoraussetzungen noch fehlen, kann die Lücke gezielt geschlossen werden. Die folgenden Buchungsoptionen führen zu einem CloudLights-Beratungstermin. Umfang, Prioritäten und konkrete Maßnahmen werden anschließend auf den jeweiligen Mandanten, die Lizenzsituation und die organisatorischen Vorgaben abgestimmt.</w:t>
      </w:r>
    </w:p>
    <w:p w14:paraId="2999FB3E" w14:textId="1ACE7A39" w:rsidR="00D80E44" w:rsidRDefault="004530DE" w:rsidP="00D542F3">
      <w:pPr>
        <w:pStyle w:val="berschrift2"/>
      </w:pPr>
      <w:bookmarkStart w:id="33" w:name="_Toc236813399"/>
      <w:r>
        <w:t>Copilot-Check-up: typische Ergebnisse</w:t>
      </w:r>
      <w:bookmarkEnd w:id="33"/>
    </w:p>
    <w:tbl>
      <w:tblPr>
        <w:tblW w:w="9780" w:type="dxa"/>
        <w:tblInd w:w="120" w:type="dxa"/>
        <w:tblLayout w:type="fixed"/>
        <w:tblLook w:val="04A0" w:firstRow="1" w:lastRow="0" w:firstColumn="1" w:lastColumn="0" w:noHBand="0" w:noVBand="1"/>
      </w:tblPr>
      <w:tblGrid>
        <w:gridCol w:w="1881"/>
        <w:gridCol w:w="4660"/>
        <w:gridCol w:w="3239"/>
      </w:tblGrid>
      <w:tr w:rsidR="00D80E44" w14:paraId="32C3A794" w14:textId="77777777">
        <w:trPr>
          <w:cantSplit/>
          <w:tblHeader/>
        </w:trPr>
        <w:tc>
          <w:tcPr>
            <w:tcW w:w="1881"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134845C4" w14:textId="77777777" w:rsidR="00D80E44" w:rsidRDefault="004530DE" w:rsidP="00236AE7">
            <w:pPr>
              <w:ind w:left="0"/>
            </w:pPr>
            <w:r>
              <w:rPr>
                <w:rFonts w:cs="Calibri"/>
                <w:b/>
                <w:color w:val="333333"/>
                <w:sz w:val="19"/>
              </w:rPr>
              <w:t>Baustein</w:t>
            </w:r>
          </w:p>
        </w:tc>
        <w:tc>
          <w:tcPr>
            <w:tcW w:w="4660"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56A92FEE" w14:textId="77777777" w:rsidR="00D80E44" w:rsidRDefault="004530DE" w:rsidP="00236AE7">
            <w:pPr>
              <w:ind w:left="0"/>
            </w:pPr>
            <w:r>
              <w:rPr>
                <w:rFonts w:cs="Calibri"/>
                <w:b/>
                <w:color w:val="333333"/>
                <w:sz w:val="19"/>
              </w:rPr>
              <w:t>Was geprüft oder erarbeitet wird</w:t>
            </w:r>
          </w:p>
        </w:tc>
        <w:tc>
          <w:tcPr>
            <w:tcW w:w="3239"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33A096BD" w14:textId="77777777" w:rsidR="00D80E44" w:rsidRDefault="004530DE" w:rsidP="00236AE7">
            <w:pPr>
              <w:ind w:left="0"/>
            </w:pPr>
            <w:r>
              <w:rPr>
                <w:rFonts w:cs="Calibri"/>
                <w:b/>
                <w:color w:val="333333"/>
                <w:sz w:val="19"/>
              </w:rPr>
              <w:t>Ergebnis für das Unternehmen</w:t>
            </w:r>
          </w:p>
        </w:tc>
      </w:tr>
      <w:tr w:rsidR="00D80E44" w14:paraId="592B31CE" w14:textId="77777777">
        <w:trPr>
          <w:cantSplit/>
        </w:trPr>
        <w:tc>
          <w:tcPr>
            <w:tcW w:w="1881" w:type="dxa"/>
          </w:tcPr>
          <w:p w14:paraId="1700A738" w14:textId="77777777" w:rsidR="00D80E44" w:rsidRDefault="004530DE" w:rsidP="00236AE7">
            <w:pPr>
              <w:spacing w:after="0" w:line="264" w:lineRule="auto"/>
              <w:ind w:left="0"/>
            </w:pPr>
            <w:r>
              <w:rPr>
                <w:rFonts w:cs="Calibri"/>
                <w:sz w:val="18"/>
              </w:rPr>
              <w:t>Readiness-Interview</w:t>
            </w:r>
          </w:p>
        </w:tc>
        <w:tc>
          <w:tcPr>
            <w:tcW w:w="4660" w:type="dxa"/>
          </w:tcPr>
          <w:p w14:paraId="0F1BC9A4" w14:textId="77777777" w:rsidR="00D80E44" w:rsidRDefault="004530DE" w:rsidP="00236AE7">
            <w:pPr>
              <w:spacing w:after="0" w:line="264" w:lineRule="auto"/>
              <w:ind w:left="0"/>
            </w:pPr>
            <w:r>
              <w:rPr>
                <w:rFonts w:cs="Calibri"/>
                <w:sz w:val="18"/>
              </w:rPr>
              <w:t>Zielbild, Pilotumfang, Datenquellen, Nutzergruppen, vorhandene Kontrollen und aktuelle Risiken strukturiert erfassen.</w:t>
            </w:r>
          </w:p>
        </w:tc>
        <w:tc>
          <w:tcPr>
            <w:tcW w:w="3239" w:type="dxa"/>
          </w:tcPr>
          <w:p w14:paraId="38135831" w14:textId="77777777" w:rsidR="00D80E44" w:rsidRDefault="004530DE" w:rsidP="00236AE7">
            <w:pPr>
              <w:spacing w:after="0" w:line="264" w:lineRule="auto"/>
              <w:ind w:left="0"/>
            </w:pPr>
            <w:r>
              <w:rPr>
                <w:rFonts w:cs="Calibri"/>
                <w:sz w:val="18"/>
              </w:rPr>
              <w:t>Gemeinsames Lagebild mit priorisierten Annahmen und offenen Entscheidungen.</w:t>
            </w:r>
          </w:p>
        </w:tc>
      </w:tr>
      <w:tr w:rsidR="00D80E44" w14:paraId="034DFCE3" w14:textId="77777777">
        <w:trPr>
          <w:cantSplit/>
        </w:trPr>
        <w:tc>
          <w:tcPr>
            <w:tcW w:w="1881" w:type="dxa"/>
          </w:tcPr>
          <w:p w14:paraId="69229C27" w14:textId="77777777" w:rsidR="00D80E44" w:rsidRDefault="004530DE" w:rsidP="00236AE7">
            <w:pPr>
              <w:spacing w:after="0" w:line="264" w:lineRule="auto"/>
              <w:ind w:left="0"/>
            </w:pPr>
            <w:r>
              <w:rPr>
                <w:rFonts w:cs="Calibri"/>
                <w:sz w:val="18"/>
              </w:rPr>
              <w:t>M365- und Datenschutz-Check</w:t>
            </w:r>
          </w:p>
        </w:tc>
        <w:tc>
          <w:tcPr>
            <w:tcW w:w="4660" w:type="dxa"/>
          </w:tcPr>
          <w:p w14:paraId="6FCD68B8" w14:textId="77777777" w:rsidR="00D80E44" w:rsidRDefault="004530DE" w:rsidP="00236AE7">
            <w:pPr>
              <w:spacing w:after="0" w:line="264" w:lineRule="auto"/>
              <w:ind w:left="0"/>
            </w:pPr>
            <w:r>
              <w:rPr>
                <w:rFonts w:cs="Calibri"/>
                <w:sz w:val="18"/>
              </w:rPr>
              <w:t>Berechtigungen, Sharing, Labels, DLP, Audit, Copilot-Varianten, Agents/Connectoren sowie Datenschutz- und Nachweisfragen einordnen.</w:t>
            </w:r>
          </w:p>
        </w:tc>
        <w:tc>
          <w:tcPr>
            <w:tcW w:w="3239" w:type="dxa"/>
          </w:tcPr>
          <w:p w14:paraId="363751E8" w14:textId="77777777" w:rsidR="00D80E44" w:rsidRDefault="004530DE" w:rsidP="00236AE7">
            <w:pPr>
              <w:spacing w:after="0" w:line="264" w:lineRule="auto"/>
              <w:ind w:left="0"/>
            </w:pPr>
            <w:r>
              <w:rPr>
                <w:rFonts w:cs="Calibri"/>
                <w:sz w:val="18"/>
              </w:rPr>
              <w:t>Konkrete Maßnahmenliste mit Priorität, Owner und typischem Evidenznachweis.</w:t>
            </w:r>
          </w:p>
        </w:tc>
      </w:tr>
      <w:tr w:rsidR="00D80E44" w14:paraId="2CF77C32" w14:textId="77777777">
        <w:trPr>
          <w:cantSplit/>
        </w:trPr>
        <w:tc>
          <w:tcPr>
            <w:tcW w:w="1881" w:type="dxa"/>
          </w:tcPr>
          <w:p w14:paraId="61EB4E81" w14:textId="77777777" w:rsidR="00D80E44" w:rsidRDefault="004530DE" w:rsidP="00236AE7">
            <w:pPr>
              <w:spacing w:after="0" w:line="264" w:lineRule="auto"/>
              <w:ind w:left="0"/>
            </w:pPr>
            <w:r>
              <w:rPr>
                <w:rFonts w:cs="Calibri"/>
                <w:sz w:val="18"/>
              </w:rPr>
              <w:t>Governance-Design</w:t>
            </w:r>
          </w:p>
        </w:tc>
        <w:tc>
          <w:tcPr>
            <w:tcW w:w="4660" w:type="dxa"/>
          </w:tcPr>
          <w:p w14:paraId="1B2F93FE" w14:textId="77777777" w:rsidR="00D80E44" w:rsidRDefault="004530DE" w:rsidP="00236AE7">
            <w:pPr>
              <w:spacing w:after="0" w:line="264" w:lineRule="auto"/>
              <w:ind w:left="0"/>
            </w:pPr>
            <w:r>
              <w:rPr>
                <w:rFonts w:cs="Calibri"/>
                <w:sz w:val="18"/>
              </w:rPr>
              <w:t>Rollen, Use-Case-Ampel, Freigaben, Eskalation, Dokumentation und Regelbetrieb auf die Organisation zuschneiden.</w:t>
            </w:r>
          </w:p>
        </w:tc>
        <w:tc>
          <w:tcPr>
            <w:tcW w:w="3239" w:type="dxa"/>
          </w:tcPr>
          <w:p w14:paraId="0B4D3BB0" w14:textId="77777777" w:rsidR="00D80E44" w:rsidRDefault="004530DE" w:rsidP="00236AE7">
            <w:pPr>
              <w:spacing w:after="0" w:line="264" w:lineRule="auto"/>
              <w:ind w:left="0"/>
            </w:pPr>
            <w:r>
              <w:rPr>
                <w:rFonts w:cs="Calibri"/>
                <w:sz w:val="18"/>
              </w:rPr>
              <w:t>Handhabbarer Freigabeprozess statt abstrakter Pflichtensammlung.</w:t>
            </w:r>
          </w:p>
        </w:tc>
      </w:tr>
      <w:tr w:rsidR="00D80E44" w14:paraId="37F899B0" w14:textId="77777777">
        <w:trPr>
          <w:cantSplit/>
        </w:trPr>
        <w:tc>
          <w:tcPr>
            <w:tcW w:w="1881" w:type="dxa"/>
          </w:tcPr>
          <w:p w14:paraId="2D6458EA" w14:textId="77777777" w:rsidR="00D80E44" w:rsidRDefault="004530DE" w:rsidP="00236AE7">
            <w:pPr>
              <w:spacing w:after="0" w:line="264" w:lineRule="auto"/>
              <w:ind w:left="0"/>
            </w:pPr>
            <w:r>
              <w:rPr>
                <w:rFonts w:cs="Calibri"/>
                <w:sz w:val="18"/>
              </w:rPr>
              <w:t>Pilotplanung</w:t>
            </w:r>
          </w:p>
        </w:tc>
        <w:tc>
          <w:tcPr>
            <w:tcW w:w="4660" w:type="dxa"/>
          </w:tcPr>
          <w:p w14:paraId="7DB3DF2C" w14:textId="77777777" w:rsidR="00D80E44" w:rsidRDefault="004530DE" w:rsidP="00236AE7">
            <w:pPr>
              <w:spacing w:after="0" w:line="264" w:lineRule="auto"/>
              <w:ind w:left="0"/>
            </w:pPr>
            <w:r>
              <w:rPr>
                <w:rFonts w:cs="Calibri"/>
                <w:sz w:val="18"/>
              </w:rPr>
              <w:t>Pilotgruppe, Testfälle, Schulung, Qualitätskriterien, Erfolgsmessung, Abbruchbedingungen und Reviewpunkte planen.</w:t>
            </w:r>
          </w:p>
        </w:tc>
        <w:tc>
          <w:tcPr>
            <w:tcW w:w="3239" w:type="dxa"/>
          </w:tcPr>
          <w:p w14:paraId="788596D6" w14:textId="77777777" w:rsidR="00D80E44" w:rsidRDefault="004530DE" w:rsidP="00236AE7">
            <w:pPr>
              <w:spacing w:after="0" w:line="264" w:lineRule="auto"/>
              <w:ind w:left="0"/>
            </w:pPr>
            <w:r>
              <w:rPr>
                <w:rFonts w:cs="Calibri"/>
                <w:sz w:val="18"/>
              </w:rPr>
              <w:t>Entscheidungsreifer Pilotauftrag mit klaren Guardrails.</w:t>
            </w:r>
          </w:p>
        </w:tc>
      </w:tr>
    </w:tbl>
    <w:p w14:paraId="572CB7D9" w14:textId="77777777" w:rsidR="00D80E44" w:rsidRDefault="00D80E44">
      <w:pPr>
        <w:spacing w:after="0"/>
      </w:pPr>
    </w:p>
    <w:tbl>
      <w:tblPr>
        <w:tblW w:w="9780" w:type="dxa"/>
        <w:tblInd w:w="120" w:type="dxa"/>
        <w:tblLayout w:type="fixed"/>
        <w:tblLook w:val="04A0" w:firstRow="1" w:lastRow="0" w:firstColumn="1" w:lastColumn="0" w:noHBand="0" w:noVBand="1"/>
      </w:tblPr>
      <w:tblGrid>
        <w:gridCol w:w="9780"/>
      </w:tblGrid>
      <w:tr w:rsidR="00D80E44" w14:paraId="4B39C140" w14:textId="77777777">
        <w:tc>
          <w:tcPr>
            <w:tcW w:w="9780" w:type="dxa"/>
            <w:tcBorders>
              <w:top w:val="single" w:sz="12" w:space="0" w:color="F25022"/>
              <w:left w:val="single" w:sz="12" w:space="0" w:color="F25022"/>
              <w:bottom w:val="single" w:sz="12" w:space="0" w:color="F25022"/>
              <w:right w:val="single" w:sz="12" w:space="0" w:color="F25022"/>
            </w:tcBorders>
            <w:shd w:val="clear" w:color="auto" w:fill="FFF0E9"/>
            <w:tcMar>
              <w:top w:w="80" w:type="dxa"/>
              <w:left w:w="120" w:type="dxa"/>
              <w:bottom w:w="80" w:type="dxa"/>
              <w:right w:w="120" w:type="dxa"/>
            </w:tcMar>
            <w:vAlign w:val="center"/>
          </w:tcPr>
          <w:p w14:paraId="6995E189" w14:textId="77777777" w:rsidR="00D80E44" w:rsidRDefault="004530DE">
            <w:pPr>
              <w:spacing w:after="60"/>
            </w:pPr>
            <w:r>
              <w:rPr>
                <w:rFonts w:cs="Calibri"/>
                <w:b/>
                <w:color w:val="333333"/>
                <w:sz w:val="21"/>
              </w:rPr>
              <w:t>Copilot-Datenschutzrichtlinie, technische Basis oder Nachweise noch offen?</w:t>
            </w:r>
          </w:p>
          <w:p w14:paraId="35FA3F94" w14:textId="77777777" w:rsidR="00D80E44" w:rsidRDefault="004530DE">
            <w:pPr>
              <w:spacing w:after="100"/>
            </w:pPr>
            <w:r>
              <w:rPr>
                <w:rFonts w:cs="Calibri"/>
                <w:sz w:val="20"/>
              </w:rPr>
              <w:t>Ein CloudLights Copilot-Check-up verbindet die technische M365-Readiness mit Datenschutz, Nutzungsleitlinie, Rollenmodell und einer priorisierten Umsetzungsplanung.</w:t>
            </w:r>
          </w:p>
          <w:p w14:paraId="5C65DF70" w14:textId="5BA00315" w:rsidR="00D80E44" w:rsidRDefault="004530DE">
            <w:pPr>
              <w:spacing w:after="0"/>
            </w:pPr>
            <w:r>
              <w:rPr>
                <w:rFonts w:cs="Calibri"/>
                <w:b/>
                <w:color w:val="333333"/>
                <w:sz w:val="20"/>
              </w:rPr>
              <w:t xml:space="preserve">Nächster Schritt: </w:t>
            </w:r>
            <w:hyperlink r:id="rId12">
              <w:r w:rsidR="00D80E44">
                <w:rPr>
                  <w:color w:val="F25022"/>
                  <w:u w:val="single"/>
                </w:rPr>
                <w:t>CloudLights Copilot-Check-up buchen</w:t>
              </w:r>
            </w:hyperlink>
            <w:r>
              <w:rPr>
                <w:rFonts w:cs="Calibri"/>
                <w:color w:val="666666"/>
                <w:sz w:val="20"/>
              </w:rPr>
              <w:t xml:space="preserve"> | </w:t>
            </w:r>
            <w:hyperlink r:id="rId13">
              <w:r w:rsidR="00D80E44">
                <w:rPr>
                  <w:color w:val="F25022"/>
                  <w:u w:val="single"/>
                </w:rPr>
                <w:t>Beratungsangebot ansehen</w:t>
              </w:r>
            </w:hyperlink>
          </w:p>
        </w:tc>
      </w:tr>
    </w:tbl>
    <w:p w14:paraId="01B78DDE" w14:textId="77777777" w:rsidR="00D80E44" w:rsidRDefault="00D80E44">
      <w:pPr>
        <w:spacing w:after="0"/>
      </w:pPr>
    </w:p>
    <w:p w14:paraId="79CA3A69" w14:textId="6D759536" w:rsidR="00D80E44" w:rsidRDefault="004530DE" w:rsidP="00D542F3">
      <w:pPr>
        <w:pStyle w:val="berschrift2"/>
      </w:pPr>
      <w:bookmarkStart w:id="34" w:name="_Toc236813400"/>
      <w:r>
        <w:t>Schulung und Change-Begleitung</w:t>
      </w:r>
      <w:bookmarkEnd w:id="34"/>
    </w:p>
    <w:tbl>
      <w:tblPr>
        <w:tblW w:w="9780" w:type="dxa"/>
        <w:tblInd w:w="120" w:type="dxa"/>
        <w:tblLayout w:type="fixed"/>
        <w:tblLook w:val="04A0" w:firstRow="1" w:lastRow="0" w:firstColumn="1" w:lastColumn="0" w:noHBand="0" w:noVBand="1"/>
      </w:tblPr>
      <w:tblGrid>
        <w:gridCol w:w="2132"/>
        <w:gridCol w:w="4765"/>
        <w:gridCol w:w="2883"/>
      </w:tblGrid>
      <w:tr w:rsidR="00D80E44" w14:paraId="7ECA01E6" w14:textId="77777777">
        <w:trPr>
          <w:cantSplit/>
          <w:tblHeader/>
        </w:trPr>
        <w:tc>
          <w:tcPr>
            <w:tcW w:w="2132"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5E2FDA43" w14:textId="77777777" w:rsidR="00D80E44" w:rsidRDefault="004530DE" w:rsidP="00236AE7">
            <w:pPr>
              <w:ind w:left="0"/>
            </w:pPr>
            <w:r>
              <w:rPr>
                <w:rFonts w:cs="Calibri"/>
                <w:b/>
                <w:color w:val="333333"/>
                <w:sz w:val="19"/>
              </w:rPr>
              <w:t>Baustein</w:t>
            </w:r>
          </w:p>
        </w:tc>
        <w:tc>
          <w:tcPr>
            <w:tcW w:w="4765"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6CD52084" w14:textId="77777777" w:rsidR="00D80E44" w:rsidRDefault="004530DE" w:rsidP="00236AE7">
            <w:pPr>
              <w:ind w:left="0"/>
            </w:pPr>
            <w:r>
              <w:rPr>
                <w:rFonts w:cs="Calibri"/>
                <w:b/>
                <w:color w:val="333333"/>
                <w:sz w:val="19"/>
              </w:rPr>
              <w:t>Mögliche Ausgestaltung</w:t>
            </w:r>
          </w:p>
        </w:tc>
        <w:tc>
          <w:tcPr>
            <w:tcW w:w="2883"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474D6289" w14:textId="77777777" w:rsidR="00D80E44" w:rsidRDefault="004530DE" w:rsidP="00236AE7">
            <w:pPr>
              <w:ind w:left="0"/>
            </w:pPr>
            <w:r>
              <w:rPr>
                <w:rFonts w:cs="Calibri"/>
                <w:b/>
                <w:color w:val="333333"/>
                <w:sz w:val="19"/>
              </w:rPr>
              <w:t>Nachweis / Nutzen</w:t>
            </w:r>
          </w:p>
        </w:tc>
      </w:tr>
      <w:tr w:rsidR="00D80E44" w14:paraId="5249FBFC" w14:textId="77777777">
        <w:trPr>
          <w:cantSplit/>
        </w:trPr>
        <w:tc>
          <w:tcPr>
            <w:tcW w:w="2132" w:type="dxa"/>
          </w:tcPr>
          <w:p w14:paraId="26B7D67B" w14:textId="77777777" w:rsidR="00D80E44" w:rsidRDefault="004530DE" w:rsidP="00236AE7">
            <w:pPr>
              <w:spacing w:after="0" w:line="264" w:lineRule="auto"/>
              <w:ind w:left="0"/>
            </w:pPr>
            <w:r>
              <w:rPr>
                <w:rFonts w:cs="Calibri"/>
                <w:sz w:val="18"/>
              </w:rPr>
              <w:t>Grundlagen für Pilotgruppen</w:t>
            </w:r>
          </w:p>
        </w:tc>
        <w:tc>
          <w:tcPr>
            <w:tcW w:w="4765" w:type="dxa"/>
          </w:tcPr>
          <w:p w14:paraId="75AC0552" w14:textId="77777777" w:rsidR="00D80E44" w:rsidRDefault="004530DE" w:rsidP="00236AE7">
            <w:pPr>
              <w:spacing w:after="0" w:line="264" w:lineRule="auto"/>
              <w:ind w:left="0"/>
            </w:pPr>
            <w:r>
              <w:rPr>
                <w:rFonts w:cs="Calibri"/>
                <w:sz w:val="18"/>
              </w:rPr>
              <w:t>Praxisnahes Training zu Copilot-Funktionen, Daten- und Promptregeln, Qualitätsprüfung und Eskalation anhand typischer Arbeitsfälle.</w:t>
            </w:r>
          </w:p>
        </w:tc>
        <w:tc>
          <w:tcPr>
            <w:tcW w:w="2883" w:type="dxa"/>
          </w:tcPr>
          <w:p w14:paraId="6355166B" w14:textId="77777777" w:rsidR="00D80E44" w:rsidRDefault="004530DE" w:rsidP="00236AE7">
            <w:pPr>
              <w:spacing w:after="0" w:line="264" w:lineRule="auto"/>
              <w:ind w:left="0"/>
            </w:pPr>
            <w:r>
              <w:rPr>
                <w:rFonts w:cs="Calibri"/>
                <w:sz w:val="18"/>
              </w:rPr>
              <w:t>Befähigte Nutzende, nachvollziehbare Teilnahme und weniger unsichere Ad-hoc-Nutzung.</w:t>
            </w:r>
          </w:p>
        </w:tc>
      </w:tr>
      <w:tr w:rsidR="00D80E44" w14:paraId="7683178A" w14:textId="77777777">
        <w:trPr>
          <w:cantSplit/>
        </w:trPr>
        <w:tc>
          <w:tcPr>
            <w:tcW w:w="2132" w:type="dxa"/>
          </w:tcPr>
          <w:p w14:paraId="7B54C8B6" w14:textId="77777777" w:rsidR="00D80E44" w:rsidRDefault="004530DE" w:rsidP="00236AE7">
            <w:pPr>
              <w:spacing w:after="0" w:line="264" w:lineRule="auto"/>
              <w:ind w:left="0"/>
            </w:pPr>
            <w:r>
              <w:rPr>
                <w:rFonts w:cs="Calibri"/>
                <w:sz w:val="18"/>
              </w:rPr>
              <w:t>Admin- und Champion-Workshop</w:t>
            </w:r>
          </w:p>
        </w:tc>
        <w:tc>
          <w:tcPr>
            <w:tcW w:w="4765" w:type="dxa"/>
          </w:tcPr>
          <w:p w14:paraId="7EA4E9F8" w14:textId="77777777" w:rsidR="00D80E44" w:rsidRDefault="004530DE" w:rsidP="00236AE7">
            <w:pPr>
              <w:spacing w:after="0" w:line="264" w:lineRule="auto"/>
              <w:ind w:left="0"/>
            </w:pPr>
            <w:r>
              <w:rPr>
                <w:rFonts w:cs="Calibri"/>
                <w:sz w:val="18"/>
              </w:rPr>
              <w:t>Vertiefung für berechtigte Personen zu Purview, Berechtigungen, Labels, DLP, Agents, Connectoren, Tests und Multiplikatorrolle.</w:t>
            </w:r>
          </w:p>
        </w:tc>
        <w:tc>
          <w:tcPr>
            <w:tcW w:w="2883" w:type="dxa"/>
          </w:tcPr>
          <w:p w14:paraId="17B0D90A" w14:textId="77777777" w:rsidR="00D80E44" w:rsidRDefault="004530DE" w:rsidP="00236AE7">
            <w:pPr>
              <w:spacing w:after="0" w:line="264" w:lineRule="auto"/>
              <w:ind w:left="0"/>
            </w:pPr>
            <w:r>
              <w:rPr>
                <w:rFonts w:cs="Calibri"/>
                <w:sz w:val="18"/>
              </w:rPr>
              <w:t>Technisch und organisatorisch handlungsfähige Ansprechpartner.</w:t>
            </w:r>
          </w:p>
        </w:tc>
      </w:tr>
      <w:tr w:rsidR="00D80E44" w14:paraId="207E7FB9" w14:textId="77777777">
        <w:trPr>
          <w:cantSplit/>
        </w:trPr>
        <w:tc>
          <w:tcPr>
            <w:tcW w:w="2132" w:type="dxa"/>
          </w:tcPr>
          <w:p w14:paraId="1E2B1134" w14:textId="77777777" w:rsidR="00D80E44" w:rsidRDefault="004530DE" w:rsidP="00236AE7">
            <w:pPr>
              <w:spacing w:after="0" w:line="264" w:lineRule="auto"/>
              <w:ind w:left="0"/>
            </w:pPr>
            <w:r>
              <w:rPr>
                <w:rFonts w:cs="Calibri"/>
                <w:sz w:val="18"/>
              </w:rPr>
              <w:t>Management- und Fachbereichsbriefing</w:t>
            </w:r>
          </w:p>
        </w:tc>
        <w:tc>
          <w:tcPr>
            <w:tcW w:w="4765" w:type="dxa"/>
          </w:tcPr>
          <w:p w14:paraId="753FCC55" w14:textId="77777777" w:rsidR="00D80E44" w:rsidRDefault="004530DE" w:rsidP="00236AE7">
            <w:pPr>
              <w:spacing w:after="0" w:line="264" w:lineRule="auto"/>
              <w:ind w:left="0"/>
            </w:pPr>
            <w:r>
              <w:rPr>
                <w:rFonts w:cs="Calibri"/>
                <w:sz w:val="18"/>
              </w:rPr>
              <w:t>Entscheidungsgates, Use-Case-Ampel, Verantwortlichkeiten, Transparenzfälle und Erfolgsmessung.</w:t>
            </w:r>
          </w:p>
        </w:tc>
        <w:tc>
          <w:tcPr>
            <w:tcW w:w="2883" w:type="dxa"/>
          </w:tcPr>
          <w:p w14:paraId="2B8ECDEB" w14:textId="77777777" w:rsidR="00D80E44" w:rsidRDefault="004530DE" w:rsidP="00236AE7">
            <w:pPr>
              <w:spacing w:after="0" w:line="264" w:lineRule="auto"/>
              <w:ind w:left="0"/>
            </w:pPr>
            <w:r>
              <w:rPr>
                <w:rFonts w:cs="Calibri"/>
                <w:sz w:val="18"/>
              </w:rPr>
              <w:t>Klarer Rahmen für Entscheidungen und verantwortliche Skalierung.</w:t>
            </w:r>
          </w:p>
        </w:tc>
      </w:tr>
      <w:tr w:rsidR="00D80E44" w14:paraId="6309171F" w14:textId="77777777">
        <w:trPr>
          <w:cantSplit/>
        </w:trPr>
        <w:tc>
          <w:tcPr>
            <w:tcW w:w="2132" w:type="dxa"/>
          </w:tcPr>
          <w:p w14:paraId="2FF69D65" w14:textId="77777777" w:rsidR="00D80E44" w:rsidRDefault="004530DE" w:rsidP="00236AE7">
            <w:pPr>
              <w:spacing w:after="0" w:line="264" w:lineRule="auto"/>
              <w:ind w:left="0"/>
            </w:pPr>
            <w:r>
              <w:rPr>
                <w:rFonts w:cs="Calibri"/>
                <w:sz w:val="18"/>
              </w:rPr>
              <w:t>Office Hours und Refresh</w:t>
            </w:r>
          </w:p>
        </w:tc>
        <w:tc>
          <w:tcPr>
            <w:tcW w:w="4765" w:type="dxa"/>
          </w:tcPr>
          <w:p w14:paraId="23010695" w14:textId="77777777" w:rsidR="00D80E44" w:rsidRDefault="004530DE" w:rsidP="00236AE7">
            <w:pPr>
              <w:spacing w:after="0" w:line="264" w:lineRule="auto"/>
              <w:ind w:left="0"/>
            </w:pPr>
            <w:r>
              <w:rPr>
                <w:rFonts w:cs="Calibri"/>
                <w:sz w:val="18"/>
              </w:rPr>
              <w:t>Fragen aus dem Pilot, neue Funktionen, reale Fehlanwendungen und Update der Guidance wiederkehrend bearbeiten.</w:t>
            </w:r>
          </w:p>
        </w:tc>
        <w:tc>
          <w:tcPr>
            <w:tcW w:w="2883" w:type="dxa"/>
          </w:tcPr>
          <w:p w14:paraId="79664244" w14:textId="77777777" w:rsidR="00D80E44" w:rsidRDefault="004530DE" w:rsidP="00236AE7">
            <w:pPr>
              <w:spacing w:after="0" w:line="264" w:lineRule="auto"/>
              <w:ind w:left="0"/>
            </w:pPr>
            <w:r>
              <w:rPr>
                <w:rFonts w:cs="Calibri"/>
                <w:sz w:val="18"/>
              </w:rPr>
              <w:t>Lernschleife statt einmaliger Unterweisung.</w:t>
            </w:r>
          </w:p>
        </w:tc>
      </w:tr>
    </w:tbl>
    <w:p w14:paraId="6EC8FA2B" w14:textId="77777777" w:rsidR="00D80E44" w:rsidRDefault="00D80E44">
      <w:pPr>
        <w:spacing w:after="0"/>
      </w:pPr>
    </w:p>
    <w:p w14:paraId="56B57370" w14:textId="77777777" w:rsidR="00D80E44" w:rsidRDefault="00D80E44">
      <w:pPr>
        <w:spacing w:after="0"/>
      </w:pPr>
    </w:p>
    <w:p w14:paraId="0A1A65A2" w14:textId="31EB0DB1" w:rsidR="00D80E44" w:rsidRDefault="004530DE">
      <w:pPr>
        <w:pStyle w:val="berschrift1"/>
      </w:pPr>
      <w:bookmarkStart w:id="35" w:name="_Toc236813401"/>
      <w:r>
        <w:rPr>
          <w:rFonts w:cs="Calibri"/>
        </w:rPr>
        <w:t>Risiko- und Rollenmodell</w:t>
      </w:r>
      <w:bookmarkEnd w:id="35"/>
    </w:p>
    <w:p w14:paraId="31B9B871" w14:textId="4130C8D1" w:rsidR="00D80E44" w:rsidRDefault="004530DE" w:rsidP="00D542F3">
      <w:pPr>
        <w:pStyle w:val="berschrift2"/>
      </w:pPr>
      <w:bookmarkStart w:id="36" w:name="_Toc236813402"/>
      <w:r>
        <w:t>Kompakte Risikomatrix</w:t>
      </w:r>
      <w:bookmarkEnd w:id="36"/>
    </w:p>
    <w:tbl>
      <w:tblPr>
        <w:tblW w:w="9780" w:type="dxa"/>
        <w:tblInd w:w="120" w:type="dxa"/>
        <w:tblLayout w:type="fixed"/>
        <w:tblLook w:val="04A0" w:firstRow="1" w:lastRow="0" w:firstColumn="1" w:lastColumn="0" w:noHBand="0" w:noVBand="1"/>
      </w:tblPr>
      <w:tblGrid>
        <w:gridCol w:w="1881"/>
        <w:gridCol w:w="2769"/>
        <w:gridCol w:w="3135"/>
        <w:gridCol w:w="1995"/>
      </w:tblGrid>
      <w:tr w:rsidR="00D80E44" w14:paraId="0510FE67" w14:textId="77777777">
        <w:trPr>
          <w:cantSplit/>
          <w:tblHeader/>
        </w:trPr>
        <w:tc>
          <w:tcPr>
            <w:tcW w:w="1881"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3CE5908E" w14:textId="77777777" w:rsidR="00D80E44" w:rsidRDefault="004530DE" w:rsidP="00236AE7">
            <w:pPr>
              <w:ind w:left="0"/>
            </w:pPr>
            <w:r>
              <w:rPr>
                <w:rFonts w:cs="Calibri"/>
                <w:b/>
                <w:color w:val="333333"/>
                <w:sz w:val="19"/>
              </w:rPr>
              <w:t>Risiko</w:t>
            </w:r>
          </w:p>
        </w:tc>
        <w:tc>
          <w:tcPr>
            <w:tcW w:w="2769"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4DE778B1" w14:textId="77777777" w:rsidR="00D80E44" w:rsidRDefault="004530DE" w:rsidP="00236AE7">
            <w:pPr>
              <w:ind w:left="0"/>
            </w:pPr>
            <w:r>
              <w:rPr>
                <w:rFonts w:cs="Calibri"/>
                <w:b/>
                <w:color w:val="333333"/>
                <w:sz w:val="19"/>
              </w:rPr>
              <w:t>Typische Ursache</w:t>
            </w:r>
          </w:p>
        </w:tc>
        <w:tc>
          <w:tcPr>
            <w:tcW w:w="3135"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440E07BA" w14:textId="77777777" w:rsidR="00D80E44" w:rsidRDefault="004530DE" w:rsidP="00236AE7">
            <w:pPr>
              <w:ind w:left="0"/>
            </w:pPr>
            <w:r>
              <w:rPr>
                <w:rFonts w:cs="Calibri"/>
                <w:b/>
                <w:color w:val="333333"/>
                <w:sz w:val="19"/>
              </w:rPr>
              <w:t>Vorkehrung</w:t>
            </w:r>
          </w:p>
        </w:tc>
        <w:tc>
          <w:tcPr>
            <w:tcW w:w="1995"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694B33D9" w14:textId="77777777" w:rsidR="00D80E44" w:rsidRDefault="004530DE" w:rsidP="00236AE7">
            <w:pPr>
              <w:ind w:left="0"/>
            </w:pPr>
            <w:r>
              <w:rPr>
                <w:rFonts w:cs="Calibri"/>
                <w:b/>
                <w:color w:val="333333"/>
                <w:sz w:val="19"/>
              </w:rPr>
              <w:t>Eskalation</w:t>
            </w:r>
          </w:p>
        </w:tc>
      </w:tr>
      <w:tr w:rsidR="00D80E44" w14:paraId="7FAB8E40" w14:textId="77777777">
        <w:trPr>
          <w:cantSplit/>
        </w:trPr>
        <w:tc>
          <w:tcPr>
            <w:tcW w:w="1881" w:type="dxa"/>
          </w:tcPr>
          <w:p w14:paraId="77FC5E7A" w14:textId="77777777" w:rsidR="00D80E44" w:rsidRDefault="004530DE" w:rsidP="00236AE7">
            <w:pPr>
              <w:spacing w:after="0" w:line="264" w:lineRule="auto"/>
              <w:ind w:left="0"/>
            </w:pPr>
            <w:r>
              <w:rPr>
                <w:rFonts w:cs="Calibri"/>
                <w:sz w:val="18"/>
              </w:rPr>
              <w:t>Oversharing</w:t>
            </w:r>
          </w:p>
        </w:tc>
        <w:tc>
          <w:tcPr>
            <w:tcW w:w="2769" w:type="dxa"/>
          </w:tcPr>
          <w:p w14:paraId="27C15CD7" w14:textId="77777777" w:rsidR="00D80E44" w:rsidRDefault="004530DE" w:rsidP="00236AE7">
            <w:pPr>
              <w:spacing w:after="0" w:line="264" w:lineRule="auto"/>
              <w:ind w:left="0"/>
            </w:pPr>
            <w:r>
              <w:rPr>
                <w:rFonts w:cs="Calibri"/>
                <w:sz w:val="18"/>
              </w:rPr>
              <w:t>Breite oder alte Berechtigungen</w:t>
            </w:r>
          </w:p>
        </w:tc>
        <w:tc>
          <w:tcPr>
            <w:tcW w:w="3135" w:type="dxa"/>
          </w:tcPr>
          <w:p w14:paraId="40137AF3" w14:textId="77777777" w:rsidR="00D80E44" w:rsidRDefault="004530DE" w:rsidP="00236AE7">
            <w:pPr>
              <w:spacing w:after="0" w:line="264" w:lineRule="auto"/>
              <w:ind w:left="0"/>
            </w:pPr>
            <w:r>
              <w:rPr>
                <w:rFonts w:cs="Calibri"/>
                <w:sz w:val="18"/>
              </w:rPr>
              <w:t>Berechtigungsreview, Site-/Gast-Governance, Labels</w:t>
            </w:r>
          </w:p>
        </w:tc>
        <w:tc>
          <w:tcPr>
            <w:tcW w:w="1995" w:type="dxa"/>
          </w:tcPr>
          <w:p w14:paraId="466083C2" w14:textId="77777777" w:rsidR="00D80E44" w:rsidRDefault="004530DE" w:rsidP="00236AE7">
            <w:pPr>
              <w:spacing w:after="0" w:line="264" w:lineRule="auto"/>
              <w:ind w:left="0"/>
            </w:pPr>
            <w:r>
              <w:rPr>
                <w:rFonts w:cs="Calibri"/>
                <w:sz w:val="18"/>
              </w:rPr>
              <w:t>IT / Informationssicherheit</w:t>
            </w:r>
          </w:p>
        </w:tc>
      </w:tr>
      <w:tr w:rsidR="00D80E44" w14:paraId="0E3A953A" w14:textId="77777777">
        <w:trPr>
          <w:cantSplit/>
        </w:trPr>
        <w:tc>
          <w:tcPr>
            <w:tcW w:w="1881" w:type="dxa"/>
          </w:tcPr>
          <w:p w14:paraId="737D3937" w14:textId="77777777" w:rsidR="00D80E44" w:rsidRDefault="004530DE" w:rsidP="00236AE7">
            <w:pPr>
              <w:spacing w:after="0" w:line="264" w:lineRule="auto"/>
              <w:ind w:left="0"/>
            </w:pPr>
            <w:r>
              <w:rPr>
                <w:rFonts w:cs="Calibri"/>
                <w:sz w:val="18"/>
              </w:rPr>
              <w:t>Unzulässige Datenverarbeitung</w:t>
            </w:r>
          </w:p>
        </w:tc>
        <w:tc>
          <w:tcPr>
            <w:tcW w:w="2769" w:type="dxa"/>
          </w:tcPr>
          <w:p w14:paraId="2608D883" w14:textId="77777777" w:rsidR="00D80E44" w:rsidRDefault="004530DE" w:rsidP="00236AE7">
            <w:pPr>
              <w:spacing w:after="0" w:line="264" w:lineRule="auto"/>
              <w:ind w:left="0"/>
            </w:pPr>
            <w:r>
              <w:rPr>
                <w:rFonts w:cs="Calibri"/>
                <w:sz w:val="18"/>
              </w:rPr>
              <w:t>Unklare Datenklasse oder Rechtsgrundlage</w:t>
            </w:r>
          </w:p>
        </w:tc>
        <w:tc>
          <w:tcPr>
            <w:tcW w:w="3135" w:type="dxa"/>
          </w:tcPr>
          <w:p w14:paraId="3C66D1DD" w14:textId="77777777" w:rsidR="00D80E44" w:rsidRDefault="004530DE" w:rsidP="00236AE7">
            <w:pPr>
              <w:spacing w:after="0" w:line="264" w:lineRule="auto"/>
              <w:ind w:left="0"/>
            </w:pPr>
            <w:r>
              <w:rPr>
                <w:rFonts w:cs="Calibri"/>
                <w:sz w:val="18"/>
              </w:rPr>
              <w:t>Datenschutz-Check, Datenminimierung, freigegebene Tools</w:t>
            </w:r>
          </w:p>
        </w:tc>
        <w:tc>
          <w:tcPr>
            <w:tcW w:w="1995" w:type="dxa"/>
          </w:tcPr>
          <w:p w14:paraId="4F8DCE92" w14:textId="77777777" w:rsidR="00D80E44" w:rsidRDefault="004530DE" w:rsidP="00236AE7">
            <w:pPr>
              <w:spacing w:after="0" w:line="264" w:lineRule="auto"/>
              <w:ind w:left="0"/>
            </w:pPr>
            <w:r>
              <w:rPr>
                <w:rFonts w:cs="Calibri"/>
                <w:sz w:val="18"/>
              </w:rPr>
              <w:t>Datenschutzbeauftragte:r</w:t>
            </w:r>
          </w:p>
        </w:tc>
      </w:tr>
      <w:tr w:rsidR="00D80E44" w14:paraId="7B58E3C4" w14:textId="77777777">
        <w:trPr>
          <w:cantSplit/>
        </w:trPr>
        <w:tc>
          <w:tcPr>
            <w:tcW w:w="1881" w:type="dxa"/>
          </w:tcPr>
          <w:p w14:paraId="787B91E8" w14:textId="77777777" w:rsidR="00D80E44" w:rsidRDefault="004530DE" w:rsidP="00236AE7">
            <w:pPr>
              <w:spacing w:after="0" w:line="264" w:lineRule="auto"/>
              <w:ind w:left="0"/>
            </w:pPr>
            <w:r>
              <w:rPr>
                <w:rFonts w:cs="Calibri"/>
                <w:sz w:val="18"/>
              </w:rPr>
              <w:t>Falsche oder erfundene Inhalte</w:t>
            </w:r>
          </w:p>
        </w:tc>
        <w:tc>
          <w:tcPr>
            <w:tcW w:w="2769" w:type="dxa"/>
          </w:tcPr>
          <w:p w14:paraId="37996831" w14:textId="77777777" w:rsidR="00D80E44" w:rsidRDefault="004530DE" w:rsidP="00236AE7">
            <w:pPr>
              <w:spacing w:after="0" w:line="264" w:lineRule="auto"/>
              <w:ind w:left="0"/>
            </w:pPr>
            <w:r>
              <w:rPr>
                <w:rFonts w:cs="Calibri"/>
                <w:sz w:val="18"/>
              </w:rPr>
              <w:t>Halluzination, fehlende Quellenprüfung</w:t>
            </w:r>
          </w:p>
        </w:tc>
        <w:tc>
          <w:tcPr>
            <w:tcW w:w="3135" w:type="dxa"/>
          </w:tcPr>
          <w:p w14:paraId="133F03D5" w14:textId="77777777" w:rsidR="00D80E44" w:rsidRDefault="004530DE" w:rsidP="00236AE7">
            <w:pPr>
              <w:spacing w:after="0" w:line="264" w:lineRule="auto"/>
              <w:ind w:left="0"/>
            </w:pPr>
            <w:r>
              <w:rPr>
                <w:rFonts w:cs="Calibri"/>
                <w:sz w:val="18"/>
              </w:rPr>
              <w:t>Fachliche Prüfung, Quellenkontrolle, Vier-Augen-Prinzip</w:t>
            </w:r>
          </w:p>
        </w:tc>
        <w:tc>
          <w:tcPr>
            <w:tcW w:w="1995" w:type="dxa"/>
          </w:tcPr>
          <w:p w14:paraId="7382C8A9" w14:textId="77777777" w:rsidR="00D80E44" w:rsidRDefault="004530DE" w:rsidP="00236AE7">
            <w:pPr>
              <w:spacing w:after="0" w:line="264" w:lineRule="auto"/>
              <w:ind w:left="0"/>
            </w:pPr>
            <w:r>
              <w:rPr>
                <w:rFonts w:cs="Calibri"/>
                <w:sz w:val="18"/>
              </w:rPr>
              <w:t>Fachverantwortung</w:t>
            </w:r>
          </w:p>
        </w:tc>
      </w:tr>
      <w:tr w:rsidR="00D80E44" w14:paraId="5D6548F9" w14:textId="77777777">
        <w:trPr>
          <w:cantSplit/>
        </w:trPr>
        <w:tc>
          <w:tcPr>
            <w:tcW w:w="1881" w:type="dxa"/>
          </w:tcPr>
          <w:p w14:paraId="1C26D775" w14:textId="77777777" w:rsidR="00D80E44" w:rsidRDefault="004530DE" w:rsidP="00236AE7">
            <w:pPr>
              <w:spacing w:after="0" w:line="264" w:lineRule="auto"/>
              <w:ind w:left="0"/>
            </w:pPr>
            <w:r>
              <w:rPr>
                <w:rFonts w:cs="Calibri"/>
                <w:sz w:val="18"/>
              </w:rPr>
              <w:t>Unzulässige HR-Nutzung</w:t>
            </w:r>
          </w:p>
        </w:tc>
        <w:tc>
          <w:tcPr>
            <w:tcW w:w="2769" w:type="dxa"/>
          </w:tcPr>
          <w:p w14:paraId="192463B8" w14:textId="77777777" w:rsidR="00D80E44" w:rsidRDefault="004530DE" w:rsidP="00236AE7">
            <w:pPr>
              <w:spacing w:after="0" w:line="264" w:lineRule="auto"/>
              <w:ind w:left="0"/>
            </w:pPr>
            <w:r>
              <w:rPr>
                <w:rFonts w:cs="Calibri"/>
                <w:sz w:val="18"/>
              </w:rPr>
              <w:t>Bewertung, Auswahl oder Überwachung von Personen</w:t>
            </w:r>
          </w:p>
        </w:tc>
        <w:tc>
          <w:tcPr>
            <w:tcW w:w="3135" w:type="dxa"/>
          </w:tcPr>
          <w:p w14:paraId="241256DF" w14:textId="77777777" w:rsidR="00D80E44" w:rsidRDefault="004530DE" w:rsidP="00236AE7">
            <w:pPr>
              <w:spacing w:after="0" w:line="264" w:lineRule="auto"/>
              <w:ind w:left="0"/>
            </w:pPr>
            <w:r>
              <w:rPr>
                <w:rFonts w:cs="Calibri"/>
                <w:sz w:val="18"/>
              </w:rPr>
              <w:t>Sperrregel, separate Freigabe, Mitbestimmung</w:t>
            </w:r>
          </w:p>
        </w:tc>
        <w:tc>
          <w:tcPr>
            <w:tcW w:w="1995" w:type="dxa"/>
          </w:tcPr>
          <w:p w14:paraId="6E9B785C" w14:textId="77777777" w:rsidR="00D80E44" w:rsidRDefault="004530DE" w:rsidP="00236AE7">
            <w:pPr>
              <w:spacing w:after="0" w:line="264" w:lineRule="auto"/>
              <w:ind w:left="0"/>
            </w:pPr>
            <w:r>
              <w:rPr>
                <w:rFonts w:cs="Calibri"/>
                <w:sz w:val="18"/>
              </w:rPr>
              <w:t>HR / Recht / Betriebsrat</w:t>
            </w:r>
          </w:p>
        </w:tc>
      </w:tr>
      <w:tr w:rsidR="00D80E44" w14:paraId="447E88A6" w14:textId="77777777">
        <w:trPr>
          <w:cantSplit/>
        </w:trPr>
        <w:tc>
          <w:tcPr>
            <w:tcW w:w="1881" w:type="dxa"/>
          </w:tcPr>
          <w:p w14:paraId="11AD5380" w14:textId="77777777" w:rsidR="00D80E44" w:rsidRDefault="004530DE" w:rsidP="00236AE7">
            <w:pPr>
              <w:spacing w:after="0" w:line="264" w:lineRule="auto"/>
              <w:ind w:left="0"/>
            </w:pPr>
            <w:r>
              <w:rPr>
                <w:rFonts w:cs="Calibri"/>
                <w:sz w:val="18"/>
              </w:rPr>
              <w:t>Prompt Injection / externe Inhalte</w:t>
            </w:r>
          </w:p>
        </w:tc>
        <w:tc>
          <w:tcPr>
            <w:tcW w:w="2769" w:type="dxa"/>
          </w:tcPr>
          <w:p w14:paraId="4168FD36" w14:textId="77777777" w:rsidR="00D80E44" w:rsidRDefault="004530DE" w:rsidP="00236AE7">
            <w:pPr>
              <w:spacing w:after="0" w:line="264" w:lineRule="auto"/>
              <w:ind w:left="0"/>
            </w:pPr>
            <w:r>
              <w:rPr>
                <w:rFonts w:cs="Calibri"/>
                <w:sz w:val="18"/>
              </w:rPr>
              <w:t>Unsichere Web- oder Connector-Inhalte</w:t>
            </w:r>
          </w:p>
        </w:tc>
        <w:tc>
          <w:tcPr>
            <w:tcW w:w="3135" w:type="dxa"/>
          </w:tcPr>
          <w:p w14:paraId="73C6E4CB" w14:textId="77777777" w:rsidR="00D80E44" w:rsidRDefault="004530DE" w:rsidP="00236AE7">
            <w:pPr>
              <w:spacing w:after="0" w:line="264" w:lineRule="auto"/>
              <w:ind w:left="0"/>
            </w:pPr>
            <w:r>
              <w:rPr>
                <w:rFonts w:cs="Calibri"/>
                <w:sz w:val="18"/>
              </w:rPr>
              <w:t>Web-/Connector-Governance, Schulung, Schutzregeln</w:t>
            </w:r>
          </w:p>
        </w:tc>
        <w:tc>
          <w:tcPr>
            <w:tcW w:w="1995" w:type="dxa"/>
          </w:tcPr>
          <w:p w14:paraId="30443A54" w14:textId="77777777" w:rsidR="00D80E44" w:rsidRDefault="004530DE" w:rsidP="00236AE7">
            <w:pPr>
              <w:spacing w:after="0" w:line="264" w:lineRule="auto"/>
              <w:ind w:left="0"/>
            </w:pPr>
            <w:r>
              <w:rPr>
                <w:rFonts w:cs="Calibri"/>
                <w:sz w:val="18"/>
              </w:rPr>
              <w:t>IT / Security</w:t>
            </w:r>
          </w:p>
        </w:tc>
      </w:tr>
      <w:tr w:rsidR="00D80E44" w14:paraId="249D6B65" w14:textId="77777777">
        <w:trPr>
          <w:cantSplit/>
        </w:trPr>
        <w:tc>
          <w:tcPr>
            <w:tcW w:w="1881" w:type="dxa"/>
          </w:tcPr>
          <w:p w14:paraId="454D23DE" w14:textId="77777777" w:rsidR="00D80E44" w:rsidRDefault="004530DE" w:rsidP="00236AE7">
            <w:pPr>
              <w:spacing w:after="0" w:line="264" w:lineRule="auto"/>
              <w:ind w:left="0"/>
            </w:pPr>
            <w:r>
              <w:rPr>
                <w:rFonts w:cs="Calibri"/>
                <w:sz w:val="18"/>
              </w:rPr>
              <w:t>Transparenzlücke</w:t>
            </w:r>
          </w:p>
        </w:tc>
        <w:tc>
          <w:tcPr>
            <w:tcW w:w="2769" w:type="dxa"/>
          </w:tcPr>
          <w:p w14:paraId="3B65D424" w14:textId="77777777" w:rsidR="00D80E44" w:rsidRDefault="004530DE" w:rsidP="00236AE7">
            <w:pPr>
              <w:spacing w:after="0" w:line="264" w:lineRule="auto"/>
              <w:ind w:left="0"/>
            </w:pPr>
            <w:r>
              <w:rPr>
                <w:rFonts w:cs="Calibri"/>
                <w:sz w:val="18"/>
              </w:rPr>
              <w:t>Öffentliche KI-Inhalte ohne Prüfung oder Kennzeichnung</w:t>
            </w:r>
          </w:p>
        </w:tc>
        <w:tc>
          <w:tcPr>
            <w:tcW w:w="3135" w:type="dxa"/>
          </w:tcPr>
          <w:p w14:paraId="4C883069" w14:textId="77777777" w:rsidR="00D80E44" w:rsidRDefault="004530DE" w:rsidP="00236AE7">
            <w:pPr>
              <w:spacing w:after="0" w:line="264" w:lineRule="auto"/>
              <w:ind w:left="0"/>
            </w:pPr>
            <w:r>
              <w:rPr>
                <w:rFonts w:cs="Calibri"/>
                <w:sz w:val="18"/>
              </w:rPr>
              <w:t>Freigabe- und Kennzeichnungsprozess</w:t>
            </w:r>
          </w:p>
        </w:tc>
        <w:tc>
          <w:tcPr>
            <w:tcW w:w="1995" w:type="dxa"/>
          </w:tcPr>
          <w:p w14:paraId="1FB602FD" w14:textId="77777777" w:rsidR="00D80E44" w:rsidRDefault="004530DE" w:rsidP="00236AE7">
            <w:pPr>
              <w:spacing w:after="0" w:line="264" w:lineRule="auto"/>
              <w:ind w:left="0"/>
            </w:pPr>
            <w:r>
              <w:rPr>
                <w:rFonts w:cs="Calibri"/>
                <w:sz w:val="18"/>
              </w:rPr>
              <w:t>Kommunikation / Recht</w:t>
            </w:r>
          </w:p>
        </w:tc>
      </w:tr>
    </w:tbl>
    <w:p w14:paraId="462DC01B" w14:textId="77777777" w:rsidR="00D80E44" w:rsidRDefault="00D80E44">
      <w:pPr>
        <w:spacing w:after="0"/>
      </w:pPr>
    </w:p>
    <w:p w14:paraId="642FB169" w14:textId="5A728FB4" w:rsidR="00D80E44" w:rsidRDefault="004530DE" w:rsidP="00D542F3">
      <w:pPr>
        <w:pStyle w:val="berschrift2"/>
      </w:pPr>
      <w:bookmarkStart w:id="37" w:name="_Toc236813403"/>
      <w:r>
        <w:t>Rollen und Verantwortlichkeiten</w:t>
      </w:r>
      <w:bookmarkEnd w:id="37"/>
    </w:p>
    <w:tbl>
      <w:tblPr>
        <w:tblW w:w="9780" w:type="dxa"/>
        <w:tblInd w:w="120" w:type="dxa"/>
        <w:tblLayout w:type="fixed"/>
        <w:tblLook w:val="04A0" w:firstRow="1" w:lastRow="0" w:firstColumn="1" w:lastColumn="0" w:noHBand="0" w:noVBand="1"/>
      </w:tblPr>
      <w:tblGrid>
        <w:gridCol w:w="2560"/>
        <w:gridCol w:w="7220"/>
      </w:tblGrid>
      <w:tr w:rsidR="00D80E44" w14:paraId="5A2457AD" w14:textId="77777777">
        <w:trPr>
          <w:cantSplit/>
          <w:tblHeader/>
        </w:trPr>
        <w:tc>
          <w:tcPr>
            <w:tcW w:w="2560"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14B5EEAD" w14:textId="77777777" w:rsidR="00D80E44" w:rsidRDefault="004530DE" w:rsidP="00236AE7">
            <w:pPr>
              <w:ind w:left="0"/>
            </w:pPr>
            <w:r>
              <w:rPr>
                <w:rFonts w:cs="Calibri"/>
                <w:b/>
                <w:color w:val="333333"/>
                <w:sz w:val="19"/>
              </w:rPr>
              <w:t>Rolle</w:t>
            </w:r>
          </w:p>
        </w:tc>
        <w:tc>
          <w:tcPr>
            <w:tcW w:w="7220"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22921B0C" w14:textId="77777777" w:rsidR="00D80E44" w:rsidRDefault="004530DE" w:rsidP="00236AE7">
            <w:pPr>
              <w:ind w:left="0"/>
            </w:pPr>
            <w:r>
              <w:rPr>
                <w:rFonts w:cs="Calibri"/>
                <w:b/>
                <w:color w:val="333333"/>
                <w:sz w:val="19"/>
              </w:rPr>
              <w:t>Verantwortung</w:t>
            </w:r>
          </w:p>
        </w:tc>
      </w:tr>
      <w:tr w:rsidR="00D80E44" w14:paraId="7E08EDB4" w14:textId="77777777">
        <w:trPr>
          <w:cantSplit/>
        </w:trPr>
        <w:tc>
          <w:tcPr>
            <w:tcW w:w="2560" w:type="dxa"/>
          </w:tcPr>
          <w:p w14:paraId="3F446A27" w14:textId="77777777" w:rsidR="00D80E44" w:rsidRDefault="004530DE" w:rsidP="00236AE7">
            <w:pPr>
              <w:spacing w:after="0" w:line="264" w:lineRule="auto"/>
              <w:ind w:left="0"/>
            </w:pPr>
            <w:r>
              <w:rPr>
                <w:rFonts w:cs="Calibri"/>
                <w:sz w:val="18"/>
              </w:rPr>
              <w:t>Geschäftsführung</w:t>
            </w:r>
          </w:p>
        </w:tc>
        <w:tc>
          <w:tcPr>
            <w:tcW w:w="7220" w:type="dxa"/>
          </w:tcPr>
          <w:p w14:paraId="3EA93FFF" w14:textId="77777777" w:rsidR="00D80E44" w:rsidRDefault="004530DE" w:rsidP="00236AE7">
            <w:pPr>
              <w:spacing w:after="0" w:line="264" w:lineRule="auto"/>
              <w:ind w:left="0"/>
            </w:pPr>
            <w:r>
              <w:rPr>
                <w:rFonts w:cs="Calibri"/>
                <w:sz w:val="18"/>
              </w:rPr>
              <w:t>Ziele, Risikobereitschaft, Ressourcen, Leitlinie und Eskalationen entscheiden.</w:t>
            </w:r>
          </w:p>
        </w:tc>
      </w:tr>
      <w:tr w:rsidR="00D80E44" w14:paraId="322E0D3E" w14:textId="77777777">
        <w:trPr>
          <w:cantSplit/>
        </w:trPr>
        <w:tc>
          <w:tcPr>
            <w:tcW w:w="2560" w:type="dxa"/>
          </w:tcPr>
          <w:p w14:paraId="37940AF3" w14:textId="77777777" w:rsidR="00D80E44" w:rsidRDefault="004530DE" w:rsidP="00236AE7">
            <w:pPr>
              <w:spacing w:after="0" w:line="264" w:lineRule="auto"/>
              <w:ind w:left="0"/>
            </w:pPr>
            <w:r>
              <w:rPr>
                <w:rFonts w:cs="Calibri"/>
                <w:sz w:val="18"/>
              </w:rPr>
              <w:t>KI-Verantwortung</w:t>
            </w:r>
          </w:p>
        </w:tc>
        <w:tc>
          <w:tcPr>
            <w:tcW w:w="7220" w:type="dxa"/>
          </w:tcPr>
          <w:p w14:paraId="4574F028" w14:textId="77777777" w:rsidR="00D80E44" w:rsidRDefault="004530DE" w:rsidP="00236AE7">
            <w:pPr>
              <w:spacing w:after="0" w:line="264" w:lineRule="auto"/>
              <w:ind w:left="0"/>
            </w:pPr>
            <w:r>
              <w:rPr>
                <w:rFonts w:cs="Calibri"/>
                <w:sz w:val="18"/>
              </w:rPr>
              <w:t>Governance koordinieren, Inventar führen, Freigabeprozess betreiben und Reviewkalender steuern.</w:t>
            </w:r>
          </w:p>
        </w:tc>
      </w:tr>
      <w:tr w:rsidR="00D80E44" w14:paraId="784AFAA2" w14:textId="77777777">
        <w:trPr>
          <w:cantSplit/>
        </w:trPr>
        <w:tc>
          <w:tcPr>
            <w:tcW w:w="2560" w:type="dxa"/>
          </w:tcPr>
          <w:p w14:paraId="2BBECDC7" w14:textId="77777777" w:rsidR="00D80E44" w:rsidRDefault="004530DE" w:rsidP="00236AE7">
            <w:pPr>
              <w:spacing w:after="0" w:line="264" w:lineRule="auto"/>
              <w:ind w:left="0"/>
            </w:pPr>
            <w:r>
              <w:rPr>
                <w:rFonts w:cs="Calibri"/>
                <w:sz w:val="18"/>
              </w:rPr>
              <w:t>IT / M365-Administration</w:t>
            </w:r>
          </w:p>
        </w:tc>
        <w:tc>
          <w:tcPr>
            <w:tcW w:w="7220" w:type="dxa"/>
          </w:tcPr>
          <w:p w14:paraId="51E9255B" w14:textId="77777777" w:rsidR="00D80E44" w:rsidRDefault="004530DE" w:rsidP="00236AE7">
            <w:pPr>
              <w:spacing w:after="0" w:line="264" w:lineRule="auto"/>
              <w:ind w:left="0"/>
            </w:pPr>
            <w:r>
              <w:rPr>
                <w:rFonts w:cs="Calibri"/>
                <w:sz w:val="18"/>
              </w:rPr>
              <w:t>Lizenzen, Berechtigungen, technische Kontrollen, Agents und Connectoren absichern.</w:t>
            </w:r>
          </w:p>
        </w:tc>
      </w:tr>
      <w:tr w:rsidR="00D80E44" w14:paraId="46BED3A3" w14:textId="77777777">
        <w:trPr>
          <w:cantSplit/>
        </w:trPr>
        <w:tc>
          <w:tcPr>
            <w:tcW w:w="2560" w:type="dxa"/>
          </w:tcPr>
          <w:p w14:paraId="6F7E0C3D" w14:textId="77777777" w:rsidR="00D80E44" w:rsidRDefault="004530DE" w:rsidP="00236AE7">
            <w:pPr>
              <w:spacing w:after="0" w:line="264" w:lineRule="auto"/>
              <w:ind w:left="0"/>
            </w:pPr>
            <w:r>
              <w:rPr>
                <w:rFonts w:cs="Calibri"/>
                <w:sz w:val="18"/>
              </w:rPr>
              <w:t>Datenschutz</w:t>
            </w:r>
          </w:p>
        </w:tc>
        <w:tc>
          <w:tcPr>
            <w:tcW w:w="7220" w:type="dxa"/>
          </w:tcPr>
          <w:p w14:paraId="51A875DF" w14:textId="77777777" w:rsidR="00D80E44" w:rsidRDefault="004530DE" w:rsidP="00236AE7">
            <w:pPr>
              <w:spacing w:after="0" w:line="264" w:lineRule="auto"/>
              <w:ind w:left="0"/>
            </w:pPr>
            <w:r>
              <w:rPr>
                <w:rFonts w:cs="Calibri"/>
                <w:sz w:val="18"/>
              </w:rPr>
              <w:t>Datenflüsse, Rechtsgrundlagen, DSFA-Trigger, Auftragsverarbeitung und Betroffenenrechte bewerten.</w:t>
            </w:r>
          </w:p>
        </w:tc>
      </w:tr>
      <w:tr w:rsidR="00D80E44" w14:paraId="6C010E2A" w14:textId="77777777">
        <w:trPr>
          <w:cantSplit/>
        </w:trPr>
        <w:tc>
          <w:tcPr>
            <w:tcW w:w="2560" w:type="dxa"/>
          </w:tcPr>
          <w:p w14:paraId="21C9F613" w14:textId="77777777" w:rsidR="00D80E44" w:rsidRDefault="004530DE" w:rsidP="00236AE7">
            <w:pPr>
              <w:spacing w:after="0" w:line="264" w:lineRule="auto"/>
              <w:ind w:left="0"/>
            </w:pPr>
            <w:r>
              <w:rPr>
                <w:rFonts w:cs="Calibri"/>
                <w:sz w:val="18"/>
              </w:rPr>
              <w:t>Informationssicherheit</w:t>
            </w:r>
          </w:p>
        </w:tc>
        <w:tc>
          <w:tcPr>
            <w:tcW w:w="7220" w:type="dxa"/>
          </w:tcPr>
          <w:p w14:paraId="5BF1F2EB" w14:textId="77777777" w:rsidR="00D80E44" w:rsidRDefault="004530DE" w:rsidP="00236AE7">
            <w:pPr>
              <w:spacing w:after="0" w:line="264" w:lineRule="auto"/>
              <w:ind w:left="0"/>
            </w:pPr>
            <w:r>
              <w:rPr>
                <w:rFonts w:cs="Calibri"/>
                <w:sz w:val="18"/>
              </w:rPr>
              <w:t>Schutzbedarf, DLP, Sensitivity Labels, MFA/Conditional Access, Audit und Incident-Prozess prüfen.</w:t>
            </w:r>
          </w:p>
        </w:tc>
      </w:tr>
      <w:tr w:rsidR="00D80E44" w14:paraId="0E6476E7" w14:textId="77777777">
        <w:trPr>
          <w:cantSplit/>
        </w:trPr>
        <w:tc>
          <w:tcPr>
            <w:tcW w:w="2560" w:type="dxa"/>
          </w:tcPr>
          <w:p w14:paraId="7F895791" w14:textId="77777777" w:rsidR="00D80E44" w:rsidRDefault="004530DE" w:rsidP="00236AE7">
            <w:pPr>
              <w:spacing w:after="0" w:line="264" w:lineRule="auto"/>
              <w:ind w:left="0"/>
            </w:pPr>
            <w:r>
              <w:rPr>
                <w:rFonts w:cs="Calibri"/>
                <w:sz w:val="18"/>
              </w:rPr>
              <w:t>Fachbereiche</w:t>
            </w:r>
          </w:p>
        </w:tc>
        <w:tc>
          <w:tcPr>
            <w:tcW w:w="7220" w:type="dxa"/>
          </w:tcPr>
          <w:p w14:paraId="52F14EAF" w14:textId="77777777" w:rsidR="00D80E44" w:rsidRDefault="004530DE" w:rsidP="00236AE7">
            <w:pPr>
              <w:spacing w:after="0" w:line="264" w:lineRule="auto"/>
              <w:ind w:left="0"/>
            </w:pPr>
            <w:r>
              <w:rPr>
                <w:rFonts w:cs="Calibri"/>
                <w:sz w:val="18"/>
              </w:rPr>
              <w:t>Use Cases begründen, Ergebnisse fachlich verantworten, Mitarbeitende anleiten und Risiken melden.</w:t>
            </w:r>
          </w:p>
        </w:tc>
      </w:tr>
      <w:tr w:rsidR="00D80E44" w14:paraId="3C847F2B" w14:textId="77777777">
        <w:trPr>
          <w:cantSplit/>
        </w:trPr>
        <w:tc>
          <w:tcPr>
            <w:tcW w:w="2560" w:type="dxa"/>
          </w:tcPr>
          <w:p w14:paraId="3F3241E7" w14:textId="77777777" w:rsidR="00D80E44" w:rsidRDefault="004530DE" w:rsidP="00236AE7">
            <w:pPr>
              <w:spacing w:after="0" w:line="264" w:lineRule="auto"/>
              <w:ind w:left="0"/>
            </w:pPr>
            <w:r>
              <w:rPr>
                <w:rFonts w:cs="Calibri"/>
                <w:sz w:val="18"/>
              </w:rPr>
              <w:t>HR / Betriebsrat</w:t>
            </w:r>
          </w:p>
        </w:tc>
        <w:tc>
          <w:tcPr>
            <w:tcW w:w="7220" w:type="dxa"/>
          </w:tcPr>
          <w:p w14:paraId="0617076C" w14:textId="77777777" w:rsidR="00D80E44" w:rsidRDefault="004530DE" w:rsidP="00236AE7">
            <w:pPr>
              <w:spacing w:after="0" w:line="264" w:lineRule="auto"/>
              <w:ind w:left="0"/>
            </w:pPr>
            <w:r>
              <w:rPr>
                <w:rFonts w:cs="Calibri"/>
                <w:sz w:val="18"/>
              </w:rPr>
              <w:t>Einsatzfälle mit Beschäftigtenbezug, Qualifizierung, Mitbestimmung und unzulässige Überwachung bewerten.</w:t>
            </w:r>
          </w:p>
        </w:tc>
      </w:tr>
      <w:tr w:rsidR="00D80E44" w14:paraId="6FF08F66" w14:textId="77777777">
        <w:trPr>
          <w:cantSplit/>
        </w:trPr>
        <w:tc>
          <w:tcPr>
            <w:tcW w:w="2560" w:type="dxa"/>
          </w:tcPr>
          <w:p w14:paraId="420F72A8" w14:textId="77777777" w:rsidR="00D80E44" w:rsidRDefault="004530DE" w:rsidP="00236AE7">
            <w:pPr>
              <w:spacing w:after="0" w:line="264" w:lineRule="auto"/>
              <w:ind w:left="0"/>
            </w:pPr>
            <w:r>
              <w:rPr>
                <w:rFonts w:cs="Calibri"/>
                <w:sz w:val="18"/>
              </w:rPr>
              <w:t>Nutzende</w:t>
            </w:r>
          </w:p>
        </w:tc>
        <w:tc>
          <w:tcPr>
            <w:tcW w:w="7220" w:type="dxa"/>
          </w:tcPr>
          <w:p w14:paraId="65AE6F4B" w14:textId="77777777" w:rsidR="00D80E44" w:rsidRDefault="004530DE" w:rsidP="00236AE7">
            <w:pPr>
              <w:spacing w:after="0" w:line="264" w:lineRule="auto"/>
              <w:ind w:left="0"/>
            </w:pPr>
            <w:r>
              <w:rPr>
                <w:rFonts w:cs="Calibri"/>
                <w:sz w:val="18"/>
              </w:rPr>
              <w:t>Leitlinie anwenden, Outputs prüfen, Daten schützen und Unsicherheiten bzw. Vorfälle melden.</w:t>
            </w:r>
          </w:p>
        </w:tc>
      </w:tr>
    </w:tbl>
    <w:p w14:paraId="7ABA1F42" w14:textId="77777777" w:rsidR="00D80E44" w:rsidRDefault="00D80E44">
      <w:pPr>
        <w:spacing w:after="0"/>
      </w:pPr>
    </w:p>
    <w:tbl>
      <w:tblPr>
        <w:tblW w:w="9780" w:type="dxa"/>
        <w:tblInd w:w="120" w:type="dxa"/>
        <w:tblLayout w:type="fixed"/>
        <w:tblLook w:val="04A0" w:firstRow="1" w:lastRow="0" w:firstColumn="1" w:lastColumn="0" w:noHBand="0" w:noVBand="1"/>
      </w:tblPr>
      <w:tblGrid>
        <w:gridCol w:w="9780"/>
      </w:tblGrid>
      <w:tr w:rsidR="00D80E44" w14:paraId="00EF9A4B" w14:textId="77777777">
        <w:tc>
          <w:tcPr>
            <w:tcW w:w="9780" w:type="dxa"/>
            <w:tcBorders>
              <w:top w:val="single" w:sz="10" w:space="0" w:color="22B24C"/>
              <w:left w:val="single" w:sz="10" w:space="0" w:color="22B24C"/>
              <w:bottom w:val="single" w:sz="10" w:space="0" w:color="22B24C"/>
              <w:right w:val="single" w:sz="10" w:space="0" w:color="22B24C"/>
            </w:tcBorders>
            <w:shd w:val="clear" w:color="auto" w:fill="EDF8F0"/>
            <w:tcMar>
              <w:top w:w="80" w:type="dxa"/>
              <w:left w:w="120" w:type="dxa"/>
              <w:bottom w:w="80" w:type="dxa"/>
              <w:right w:w="120" w:type="dxa"/>
            </w:tcMar>
            <w:vAlign w:val="center"/>
          </w:tcPr>
          <w:p w14:paraId="514E13B2" w14:textId="77777777" w:rsidR="00D80E44" w:rsidRDefault="004530DE">
            <w:pPr>
              <w:spacing w:after="60"/>
            </w:pPr>
            <w:r>
              <w:rPr>
                <w:rFonts w:cs="Calibri"/>
                <w:b/>
                <w:color w:val="333333"/>
                <w:sz w:val="21"/>
              </w:rPr>
              <w:t>Betrieb statt Einmalprojekt</w:t>
            </w:r>
          </w:p>
          <w:p w14:paraId="3B568315" w14:textId="77777777" w:rsidR="00D80E44" w:rsidRDefault="004530DE">
            <w:pPr>
              <w:spacing w:after="0"/>
            </w:pPr>
            <w:r>
              <w:rPr>
                <w:rFonts w:cs="Calibri"/>
                <w:sz w:val="21"/>
              </w:rPr>
              <w:t>KI-Governance ist kein einmaliger Freigabeschritt. Neue Agents, Connectoren, Modelle, Datenquellen und Verwendungszwecke werden vor Aktivierung bewertet. Mindestens jährlich wird der Bestand, die Leitlinie und die Befähigung der Nutzenden überprüft.</w:t>
            </w:r>
          </w:p>
        </w:tc>
      </w:tr>
    </w:tbl>
    <w:p w14:paraId="02FEE4AD" w14:textId="77777777" w:rsidR="00D80E44" w:rsidRDefault="00D80E44">
      <w:pPr>
        <w:spacing w:after="0"/>
      </w:pPr>
    </w:p>
    <w:p w14:paraId="07976185" w14:textId="3A0916D1" w:rsidR="00D80E44" w:rsidRDefault="004530DE">
      <w:pPr>
        <w:pStyle w:val="berschrift1"/>
      </w:pPr>
      <w:bookmarkStart w:id="38" w:name="_Toc236813404"/>
      <w:r>
        <w:rPr>
          <w:rFonts w:cs="Calibri"/>
        </w:rPr>
        <w:t>Maßnahmenkatalog für den Copilot-Rollout</w:t>
      </w:r>
      <w:bookmarkEnd w:id="38"/>
    </w:p>
    <w:p w14:paraId="5584F1C8" w14:textId="77777777" w:rsidR="00D80E44" w:rsidRDefault="004530DE">
      <w:r>
        <w:rPr>
          <w:rFonts w:cs="Calibri"/>
        </w:rPr>
        <w:t>Der Maßnahmenkatalog ist priorisiert. Die HTML-Checkliste enthält dieselben Kontrollen als bearbeitbare Arbeitsliste mit Status, Verantwortlichkeit und Nachweisfeld.</w:t>
      </w:r>
    </w:p>
    <w:tbl>
      <w:tblPr>
        <w:tblW w:w="9780" w:type="dxa"/>
        <w:tblInd w:w="120" w:type="dxa"/>
        <w:tblLayout w:type="fixed"/>
        <w:tblLook w:val="04A0" w:firstRow="1" w:lastRow="0" w:firstColumn="1" w:lastColumn="0" w:noHBand="0" w:noVBand="1"/>
      </w:tblPr>
      <w:tblGrid>
        <w:gridCol w:w="1463"/>
        <w:gridCol w:w="3762"/>
        <w:gridCol w:w="1567"/>
        <w:gridCol w:w="2988"/>
      </w:tblGrid>
      <w:tr w:rsidR="00D80E44" w14:paraId="64C69613" w14:textId="77777777">
        <w:trPr>
          <w:cantSplit/>
          <w:tblHeader/>
        </w:trPr>
        <w:tc>
          <w:tcPr>
            <w:tcW w:w="1463"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683C7BA3" w14:textId="77777777" w:rsidR="00D80E44" w:rsidRDefault="004530DE" w:rsidP="00236AE7">
            <w:pPr>
              <w:ind w:left="0"/>
            </w:pPr>
            <w:r>
              <w:rPr>
                <w:rFonts w:cs="Calibri"/>
                <w:b/>
                <w:color w:val="333333"/>
                <w:sz w:val="19"/>
              </w:rPr>
              <w:t>Bereich</w:t>
            </w:r>
          </w:p>
        </w:tc>
        <w:tc>
          <w:tcPr>
            <w:tcW w:w="3762"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73601838" w14:textId="77777777" w:rsidR="00D80E44" w:rsidRDefault="004530DE" w:rsidP="00236AE7">
            <w:pPr>
              <w:ind w:left="0"/>
            </w:pPr>
            <w:r>
              <w:rPr>
                <w:rFonts w:cs="Calibri"/>
                <w:b/>
                <w:color w:val="333333"/>
                <w:sz w:val="19"/>
              </w:rPr>
              <w:t>Maßnahme</w:t>
            </w:r>
          </w:p>
        </w:tc>
        <w:tc>
          <w:tcPr>
            <w:tcW w:w="1567"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488E0DC9" w14:textId="77777777" w:rsidR="00D80E44" w:rsidRDefault="004530DE" w:rsidP="00236AE7">
            <w:pPr>
              <w:ind w:left="0"/>
            </w:pPr>
            <w:r>
              <w:rPr>
                <w:rFonts w:cs="Calibri"/>
                <w:b/>
                <w:color w:val="333333"/>
                <w:sz w:val="19"/>
              </w:rPr>
              <w:t>Priorität</w:t>
            </w:r>
          </w:p>
        </w:tc>
        <w:tc>
          <w:tcPr>
            <w:tcW w:w="2988"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0CB3B229" w14:textId="77777777" w:rsidR="00D80E44" w:rsidRDefault="004530DE" w:rsidP="00236AE7">
            <w:pPr>
              <w:ind w:left="0"/>
            </w:pPr>
            <w:r>
              <w:rPr>
                <w:rFonts w:cs="Calibri"/>
                <w:b/>
                <w:color w:val="333333"/>
                <w:sz w:val="19"/>
              </w:rPr>
              <w:t>Typischer Nachweis</w:t>
            </w:r>
          </w:p>
        </w:tc>
      </w:tr>
      <w:tr w:rsidR="00D80E44" w14:paraId="0D840739" w14:textId="77777777">
        <w:trPr>
          <w:cantSplit/>
        </w:trPr>
        <w:tc>
          <w:tcPr>
            <w:tcW w:w="1463" w:type="dxa"/>
          </w:tcPr>
          <w:p w14:paraId="3178462C" w14:textId="77777777" w:rsidR="00D80E44" w:rsidRDefault="004530DE" w:rsidP="00236AE7">
            <w:pPr>
              <w:spacing w:after="0" w:line="264" w:lineRule="auto"/>
              <w:ind w:left="0"/>
            </w:pPr>
            <w:r>
              <w:rPr>
                <w:rFonts w:cs="Calibri"/>
                <w:sz w:val="18"/>
              </w:rPr>
              <w:t>Governance</w:t>
            </w:r>
          </w:p>
        </w:tc>
        <w:tc>
          <w:tcPr>
            <w:tcW w:w="3762" w:type="dxa"/>
          </w:tcPr>
          <w:p w14:paraId="6E28D5B5" w14:textId="77777777" w:rsidR="00D80E44" w:rsidRDefault="004530DE" w:rsidP="00236AE7">
            <w:pPr>
              <w:spacing w:after="0" w:line="264" w:lineRule="auto"/>
              <w:ind w:left="0"/>
            </w:pPr>
            <w:r>
              <w:rPr>
                <w:rFonts w:cs="Calibri"/>
                <w:sz w:val="18"/>
              </w:rPr>
              <w:t>KI-Verantwortung, Vertretung und Entscheidungsweg schriftlich benennen.</w:t>
            </w:r>
          </w:p>
        </w:tc>
        <w:tc>
          <w:tcPr>
            <w:tcW w:w="1567" w:type="dxa"/>
            <w:shd w:val="clear" w:color="auto" w:fill="FFF0F0"/>
          </w:tcPr>
          <w:p w14:paraId="2F9B64C9" w14:textId="77777777" w:rsidR="00D80E44" w:rsidRDefault="004530DE" w:rsidP="00236AE7">
            <w:pPr>
              <w:spacing w:after="0" w:line="264" w:lineRule="auto"/>
              <w:ind w:left="0"/>
            </w:pPr>
            <w:r>
              <w:rPr>
                <w:rFonts w:cs="Calibri"/>
                <w:sz w:val="18"/>
              </w:rPr>
              <w:t>Sofort</w:t>
            </w:r>
          </w:p>
        </w:tc>
        <w:tc>
          <w:tcPr>
            <w:tcW w:w="2988" w:type="dxa"/>
          </w:tcPr>
          <w:p w14:paraId="77763960" w14:textId="77777777" w:rsidR="00D80E44" w:rsidRDefault="004530DE" w:rsidP="00236AE7">
            <w:pPr>
              <w:spacing w:after="0" w:line="264" w:lineRule="auto"/>
              <w:ind w:left="0"/>
            </w:pPr>
            <w:r>
              <w:rPr>
                <w:rFonts w:cs="Calibri"/>
                <w:sz w:val="18"/>
              </w:rPr>
              <w:t>Rollenbeschreibung / Beschluss</w:t>
            </w:r>
          </w:p>
        </w:tc>
      </w:tr>
      <w:tr w:rsidR="00D80E44" w14:paraId="3F4DD04F" w14:textId="77777777">
        <w:trPr>
          <w:cantSplit/>
        </w:trPr>
        <w:tc>
          <w:tcPr>
            <w:tcW w:w="1463" w:type="dxa"/>
          </w:tcPr>
          <w:p w14:paraId="1D15C630" w14:textId="77777777" w:rsidR="00D80E44" w:rsidRDefault="004530DE" w:rsidP="00236AE7">
            <w:pPr>
              <w:spacing w:after="0" w:line="264" w:lineRule="auto"/>
              <w:ind w:left="0"/>
            </w:pPr>
            <w:r>
              <w:rPr>
                <w:rFonts w:cs="Calibri"/>
                <w:sz w:val="18"/>
              </w:rPr>
              <w:t>Scope</w:t>
            </w:r>
          </w:p>
        </w:tc>
        <w:tc>
          <w:tcPr>
            <w:tcW w:w="3762" w:type="dxa"/>
          </w:tcPr>
          <w:p w14:paraId="6760E6EB" w14:textId="77777777" w:rsidR="00D80E44" w:rsidRDefault="004530DE" w:rsidP="00236AE7">
            <w:pPr>
              <w:spacing w:after="0" w:line="264" w:lineRule="auto"/>
              <w:ind w:left="0"/>
            </w:pPr>
            <w:r>
              <w:rPr>
                <w:rFonts w:cs="Calibri"/>
                <w:sz w:val="18"/>
              </w:rPr>
              <w:t>KI-Inventar und freigegebene Copilot-Varianten, Agents und Datenquellen erfassen.</w:t>
            </w:r>
          </w:p>
        </w:tc>
        <w:tc>
          <w:tcPr>
            <w:tcW w:w="1567" w:type="dxa"/>
            <w:shd w:val="clear" w:color="auto" w:fill="FFF0F0"/>
          </w:tcPr>
          <w:p w14:paraId="0B87AA27" w14:textId="77777777" w:rsidR="00D80E44" w:rsidRDefault="004530DE" w:rsidP="00236AE7">
            <w:pPr>
              <w:spacing w:after="0" w:line="264" w:lineRule="auto"/>
              <w:ind w:left="0"/>
            </w:pPr>
            <w:r>
              <w:rPr>
                <w:rFonts w:cs="Calibri"/>
                <w:sz w:val="18"/>
              </w:rPr>
              <w:t>Sofort</w:t>
            </w:r>
          </w:p>
        </w:tc>
        <w:tc>
          <w:tcPr>
            <w:tcW w:w="2988" w:type="dxa"/>
          </w:tcPr>
          <w:p w14:paraId="6E975968" w14:textId="77777777" w:rsidR="00D80E44" w:rsidRDefault="004530DE" w:rsidP="00236AE7">
            <w:pPr>
              <w:spacing w:after="0" w:line="264" w:lineRule="auto"/>
              <w:ind w:left="0"/>
            </w:pPr>
            <w:r>
              <w:rPr>
                <w:rFonts w:cs="Calibri"/>
                <w:sz w:val="18"/>
              </w:rPr>
              <w:t>Systemregister / Scope-Dokument</w:t>
            </w:r>
          </w:p>
        </w:tc>
      </w:tr>
      <w:tr w:rsidR="00D80E44" w14:paraId="3CC63CD9" w14:textId="77777777">
        <w:trPr>
          <w:cantSplit/>
        </w:trPr>
        <w:tc>
          <w:tcPr>
            <w:tcW w:w="1463" w:type="dxa"/>
          </w:tcPr>
          <w:p w14:paraId="273D4556" w14:textId="77777777" w:rsidR="00D80E44" w:rsidRDefault="004530DE" w:rsidP="00236AE7">
            <w:pPr>
              <w:spacing w:after="0" w:line="264" w:lineRule="auto"/>
              <w:ind w:left="0"/>
            </w:pPr>
            <w:r>
              <w:rPr>
                <w:rFonts w:cs="Calibri"/>
                <w:sz w:val="18"/>
              </w:rPr>
              <w:t>Berechtigungen</w:t>
            </w:r>
          </w:p>
        </w:tc>
        <w:tc>
          <w:tcPr>
            <w:tcW w:w="3762" w:type="dxa"/>
          </w:tcPr>
          <w:p w14:paraId="7499B786" w14:textId="77777777" w:rsidR="00D80E44" w:rsidRDefault="004530DE" w:rsidP="00236AE7">
            <w:pPr>
              <w:spacing w:after="0" w:line="264" w:lineRule="auto"/>
              <w:ind w:left="0"/>
            </w:pPr>
            <w:r>
              <w:rPr>
                <w:rFonts w:cs="Calibri"/>
                <w:sz w:val="18"/>
              </w:rPr>
              <w:t>Breite Freigaben, Gäste, anonyme Links und alte Team-/Site-Strukturen prüfen und bereinigen.</w:t>
            </w:r>
          </w:p>
        </w:tc>
        <w:tc>
          <w:tcPr>
            <w:tcW w:w="1567" w:type="dxa"/>
            <w:shd w:val="clear" w:color="auto" w:fill="FFF0F0"/>
          </w:tcPr>
          <w:p w14:paraId="4822943A" w14:textId="77777777" w:rsidR="00D80E44" w:rsidRDefault="004530DE" w:rsidP="00236AE7">
            <w:pPr>
              <w:spacing w:after="0" w:line="264" w:lineRule="auto"/>
              <w:ind w:left="0"/>
            </w:pPr>
            <w:r>
              <w:rPr>
                <w:rFonts w:cs="Calibri"/>
                <w:sz w:val="18"/>
              </w:rPr>
              <w:t>Sofort</w:t>
            </w:r>
          </w:p>
        </w:tc>
        <w:tc>
          <w:tcPr>
            <w:tcW w:w="2988" w:type="dxa"/>
          </w:tcPr>
          <w:p w14:paraId="719D5B58" w14:textId="77777777" w:rsidR="00D80E44" w:rsidRDefault="004530DE" w:rsidP="00236AE7">
            <w:pPr>
              <w:spacing w:after="0" w:line="264" w:lineRule="auto"/>
              <w:ind w:left="0"/>
            </w:pPr>
            <w:r>
              <w:rPr>
                <w:rFonts w:cs="Calibri"/>
                <w:sz w:val="18"/>
              </w:rPr>
              <w:t>Review-Protokoll / Maßnahmenliste</w:t>
            </w:r>
          </w:p>
        </w:tc>
      </w:tr>
      <w:tr w:rsidR="00D80E44" w14:paraId="0ECEA6A5" w14:textId="77777777">
        <w:trPr>
          <w:cantSplit/>
        </w:trPr>
        <w:tc>
          <w:tcPr>
            <w:tcW w:w="1463" w:type="dxa"/>
          </w:tcPr>
          <w:p w14:paraId="1C1930AB" w14:textId="77777777" w:rsidR="00D80E44" w:rsidRDefault="004530DE" w:rsidP="00236AE7">
            <w:pPr>
              <w:spacing w:after="0" w:line="264" w:lineRule="auto"/>
              <w:ind w:left="0"/>
            </w:pPr>
            <w:r>
              <w:rPr>
                <w:rFonts w:cs="Calibri"/>
                <w:sz w:val="18"/>
              </w:rPr>
              <w:t>Datenschutz</w:t>
            </w:r>
          </w:p>
        </w:tc>
        <w:tc>
          <w:tcPr>
            <w:tcW w:w="3762" w:type="dxa"/>
          </w:tcPr>
          <w:p w14:paraId="0D6CCFD0" w14:textId="77777777" w:rsidR="00D80E44" w:rsidRDefault="004530DE" w:rsidP="00236AE7">
            <w:pPr>
              <w:spacing w:after="0" w:line="264" w:lineRule="auto"/>
              <w:ind w:left="0"/>
            </w:pPr>
            <w:r>
              <w:rPr>
                <w:rFonts w:cs="Calibri"/>
                <w:sz w:val="18"/>
              </w:rPr>
              <w:t>Datenflüsse, Rechtsgrundlage, Auftragsverarbeitung und DSFA-Trigger bewerten.</w:t>
            </w:r>
          </w:p>
        </w:tc>
        <w:tc>
          <w:tcPr>
            <w:tcW w:w="1567" w:type="dxa"/>
            <w:shd w:val="clear" w:color="auto" w:fill="FFF0F0"/>
          </w:tcPr>
          <w:p w14:paraId="226D212D" w14:textId="77777777" w:rsidR="00D80E44" w:rsidRDefault="004530DE" w:rsidP="00236AE7">
            <w:pPr>
              <w:spacing w:after="0" w:line="264" w:lineRule="auto"/>
              <w:ind w:left="0"/>
            </w:pPr>
            <w:r>
              <w:rPr>
                <w:rFonts w:cs="Calibri"/>
                <w:sz w:val="18"/>
              </w:rPr>
              <w:t>Sofort</w:t>
            </w:r>
          </w:p>
        </w:tc>
        <w:tc>
          <w:tcPr>
            <w:tcW w:w="2988" w:type="dxa"/>
          </w:tcPr>
          <w:p w14:paraId="4F9E812E" w14:textId="77777777" w:rsidR="00D80E44" w:rsidRDefault="004530DE" w:rsidP="00236AE7">
            <w:pPr>
              <w:spacing w:after="0" w:line="264" w:lineRule="auto"/>
              <w:ind w:left="0"/>
            </w:pPr>
            <w:r>
              <w:rPr>
                <w:rFonts w:cs="Calibri"/>
                <w:sz w:val="18"/>
              </w:rPr>
              <w:t>Datenschutz-Freigabe / Verzeichnis</w:t>
            </w:r>
          </w:p>
        </w:tc>
      </w:tr>
      <w:tr w:rsidR="00D80E44" w14:paraId="2ED230B2" w14:textId="77777777">
        <w:trPr>
          <w:cantSplit/>
        </w:trPr>
        <w:tc>
          <w:tcPr>
            <w:tcW w:w="1463" w:type="dxa"/>
          </w:tcPr>
          <w:p w14:paraId="28DBAEC2" w14:textId="77777777" w:rsidR="00D80E44" w:rsidRDefault="004530DE" w:rsidP="00236AE7">
            <w:pPr>
              <w:spacing w:after="0" w:line="264" w:lineRule="auto"/>
              <w:ind w:left="0"/>
            </w:pPr>
            <w:r>
              <w:rPr>
                <w:rFonts w:cs="Calibri"/>
                <w:sz w:val="18"/>
              </w:rPr>
              <w:t>Leitlinie</w:t>
            </w:r>
          </w:p>
        </w:tc>
        <w:tc>
          <w:tcPr>
            <w:tcW w:w="3762" w:type="dxa"/>
          </w:tcPr>
          <w:p w14:paraId="0ECBFF67" w14:textId="77777777" w:rsidR="00D80E44" w:rsidRDefault="004530DE" w:rsidP="00236AE7">
            <w:pPr>
              <w:spacing w:after="0" w:line="264" w:lineRule="auto"/>
              <w:ind w:left="0"/>
            </w:pPr>
            <w:r>
              <w:rPr>
                <w:rFonts w:cs="Calibri"/>
                <w:sz w:val="18"/>
              </w:rPr>
              <w:t>Nutzungsregeln, verbotene Fälle, Freigaben, Prompt-Regeln und Eskalationsweg veröffentlichen.</w:t>
            </w:r>
          </w:p>
        </w:tc>
        <w:tc>
          <w:tcPr>
            <w:tcW w:w="1567" w:type="dxa"/>
            <w:shd w:val="clear" w:color="auto" w:fill="FFF0F0"/>
          </w:tcPr>
          <w:p w14:paraId="4311CB5D" w14:textId="77777777" w:rsidR="00D80E44" w:rsidRDefault="004530DE" w:rsidP="00236AE7">
            <w:pPr>
              <w:spacing w:after="0" w:line="264" w:lineRule="auto"/>
              <w:ind w:left="0"/>
            </w:pPr>
            <w:r>
              <w:rPr>
                <w:rFonts w:cs="Calibri"/>
                <w:sz w:val="18"/>
              </w:rPr>
              <w:t>Sofort</w:t>
            </w:r>
          </w:p>
        </w:tc>
        <w:tc>
          <w:tcPr>
            <w:tcW w:w="2988" w:type="dxa"/>
          </w:tcPr>
          <w:p w14:paraId="1CB38A6D" w14:textId="77777777" w:rsidR="00D80E44" w:rsidRDefault="004530DE" w:rsidP="00236AE7">
            <w:pPr>
              <w:spacing w:after="0" w:line="264" w:lineRule="auto"/>
              <w:ind w:left="0"/>
            </w:pPr>
            <w:r>
              <w:rPr>
                <w:rFonts w:cs="Calibri"/>
                <w:sz w:val="18"/>
              </w:rPr>
              <w:t>Versionierte Leitlinie / Kenntnisnahme</w:t>
            </w:r>
          </w:p>
        </w:tc>
      </w:tr>
      <w:tr w:rsidR="00D80E44" w14:paraId="5D6F6393" w14:textId="77777777">
        <w:trPr>
          <w:cantSplit/>
        </w:trPr>
        <w:tc>
          <w:tcPr>
            <w:tcW w:w="1463" w:type="dxa"/>
          </w:tcPr>
          <w:p w14:paraId="50A2DFE0" w14:textId="77777777" w:rsidR="00D80E44" w:rsidRDefault="004530DE" w:rsidP="00236AE7">
            <w:pPr>
              <w:spacing w:after="0" w:line="264" w:lineRule="auto"/>
              <w:ind w:left="0"/>
            </w:pPr>
            <w:r>
              <w:rPr>
                <w:rFonts w:cs="Calibri"/>
                <w:sz w:val="18"/>
              </w:rPr>
              <w:t>KI-Kompetenz</w:t>
            </w:r>
          </w:p>
        </w:tc>
        <w:tc>
          <w:tcPr>
            <w:tcW w:w="3762" w:type="dxa"/>
          </w:tcPr>
          <w:p w14:paraId="13736B98" w14:textId="77777777" w:rsidR="00D80E44" w:rsidRDefault="004530DE" w:rsidP="00236AE7">
            <w:pPr>
              <w:spacing w:after="0" w:line="264" w:lineRule="auto"/>
              <w:ind w:left="0"/>
            </w:pPr>
            <w:r>
              <w:rPr>
                <w:rFonts w:cs="Calibri"/>
                <w:sz w:val="18"/>
              </w:rPr>
              <w:t>Rollenbezogene Schulung und praktische Guidance für Pilotgruppe, Admins und Content-Verantwortliche durchführen.</w:t>
            </w:r>
          </w:p>
        </w:tc>
        <w:tc>
          <w:tcPr>
            <w:tcW w:w="1567" w:type="dxa"/>
            <w:shd w:val="clear" w:color="auto" w:fill="FFF0F0"/>
          </w:tcPr>
          <w:p w14:paraId="4DF36A2E" w14:textId="77777777" w:rsidR="00D80E44" w:rsidRDefault="004530DE" w:rsidP="00236AE7">
            <w:pPr>
              <w:spacing w:after="0" w:line="264" w:lineRule="auto"/>
              <w:ind w:left="0"/>
            </w:pPr>
            <w:r>
              <w:rPr>
                <w:rFonts w:cs="Calibri"/>
                <w:sz w:val="18"/>
              </w:rPr>
              <w:t>Sofort</w:t>
            </w:r>
          </w:p>
        </w:tc>
        <w:tc>
          <w:tcPr>
            <w:tcW w:w="2988" w:type="dxa"/>
          </w:tcPr>
          <w:p w14:paraId="0E3D36E3" w14:textId="77777777" w:rsidR="00D80E44" w:rsidRDefault="004530DE" w:rsidP="00236AE7">
            <w:pPr>
              <w:spacing w:after="0" w:line="264" w:lineRule="auto"/>
              <w:ind w:left="0"/>
            </w:pPr>
            <w:r>
              <w:rPr>
                <w:rFonts w:cs="Calibri"/>
                <w:sz w:val="18"/>
              </w:rPr>
              <w:t>Teilnahme- und Inhaltsnachweis</w:t>
            </w:r>
          </w:p>
        </w:tc>
      </w:tr>
      <w:tr w:rsidR="00D80E44" w14:paraId="340D1217" w14:textId="77777777">
        <w:trPr>
          <w:cantSplit/>
        </w:trPr>
        <w:tc>
          <w:tcPr>
            <w:tcW w:w="1463" w:type="dxa"/>
          </w:tcPr>
          <w:p w14:paraId="154BF8B0" w14:textId="77777777" w:rsidR="00D80E44" w:rsidRDefault="004530DE" w:rsidP="00236AE7">
            <w:pPr>
              <w:spacing w:after="0" w:line="264" w:lineRule="auto"/>
              <w:ind w:left="0"/>
            </w:pPr>
            <w:r>
              <w:rPr>
                <w:rFonts w:cs="Calibri"/>
                <w:sz w:val="18"/>
              </w:rPr>
              <w:t>Informationsschutz</w:t>
            </w:r>
          </w:p>
        </w:tc>
        <w:tc>
          <w:tcPr>
            <w:tcW w:w="3762" w:type="dxa"/>
          </w:tcPr>
          <w:p w14:paraId="1E903C33" w14:textId="77777777" w:rsidR="00D80E44" w:rsidRDefault="004530DE" w:rsidP="00236AE7">
            <w:pPr>
              <w:spacing w:after="0" w:line="264" w:lineRule="auto"/>
              <w:ind w:left="0"/>
            </w:pPr>
            <w:r>
              <w:rPr>
                <w:rFonts w:cs="Calibri"/>
                <w:sz w:val="18"/>
              </w:rPr>
              <w:t>Sensitivity Labels, Verschlüsselung und DLP auf Copilot-Risiken testen und nachjustieren.</w:t>
            </w:r>
          </w:p>
        </w:tc>
        <w:tc>
          <w:tcPr>
            <w:tcW w:w="1567" w:type="dxa"/>
            <w:shd w:val="clear" w:color="auto" w:fill="FFF8E6"/>
          </w:tcPr>
          <w:p w14:paraId="1E623637" w14:textId="77777777" w:rsidR="00D80E44" w:rsidRDefault="004530DE" w:rsidP="00236AE7">
            <w:pPr>
              <w:spacing w:after="0" w:line="264" w:lineRule="auto"/>
              <w:ind w:left="0"/>
            </w:pPr>
            <w:r>
              <w:rPr>
                <w:rFonts w:cs="Calibri"/>
                <w:sz w:val="18"/>
              </w:rPr>
              <w:t>Hohe Priorität</w:t>
            </w:r>
          </w:p>
        </w:tc>
        <w:tc>
          <w:tcPr>
            <w:tcW w:w="2988" w:type="dxa"/>
          </w:tcPr>
          <w:p w14:paraId="38C68C9C" w14:textId="77777777" w:rsidR="00D80E44" w:rsidRDefault="004530DE" w:rsidP="00236AE7">
            <w:pPr>
              <w:spacing w:after="0" w:line="264" w:lineRule="auto"/>
              <w:ind w:left="0"/>
            </w:pPr>
            <w:r>
              <w:rPr>
                <w:rFonts w:cs="Calibri"/>
                <w:sz w:val="18"/>
              </w:rPr>
              <w:t>Testprotokoll / Policy-Export</w:t>
            </w:r>
          </w:p>
        </w:tc>
      </w:tr>
      <w:tr w:rsidR="00D80E44" w14:paraId="67076895" w14:textId="77777777">
        <w:trPr>
          <w:cantSplit/>
        </w:trPr>
        <w:tc>
          <w:tcPr>
            <w:tcW w:w="1463" w:type="dxa"/>
          </w:tcPr>
          <w:p w14:paraId="747BD8E4" w14:textId="77777777" w:rsidR="00D80E44" w:rsidRDefault="004530DE" w:rsidP="00236AE7">
            <w:pPr>
              <w:spacing w:after="0" w:line="264" w:lineRule="auto"/>
              <w:ind w:left="0"/>
            </w:pPr>
            <w:r>
              <w:rPr>
                <w:rFonts w:cs="Calibri"/>
                <w:sz w:val="18"/>
              </w:rPr>
              <w:t>Monitoring</w:t>
            </w:r>
          </w:p>
        </w:tc>
        <w:tc>
          <w:tcPr>
            <w:tcW w:w="3762" w:type="dxa"/>
          </w:tcPr>
          <w:p w14:paraId="4E3C892E" w14:textId="77777777" w:rsidR="00D80E44" w:rsidRDefault="004530DE" w:rsidP="00236AE7">
            <w:pPr>
              <w:spacing w:after="0" w:line="264" w:lineRule="auto"/>
              <w:ind w:left="0"/>
            </w:pPr>
            <w:r>
              <w:rPr>
                <w:rFonts w:cs="Calibri"/>
                <w:sz w:val="18"/>
              </w:rPr>
              <w:t>Audit, Retention, Incident-Eskalation und regelmäßige Reviews einrichten.</w:t>
            </w:r>
          </w:p>
        </w:tc>
        <w:tc>
          <w:tcPr>
            <w:tcW w:w="1567" w:type="dxa"/>
            <w:shd w:val="clear" w:color="auto" w:fill="FFF8E6"/>
          </w:tcPr>
          <w:p w14:paraId="03678859" w14:textId="77777777" w:rsidR="00D80E44" w:rsidRDefault="004530DE" w:rsidP="00236AE7">
            <w:pPr>
              <w:spacing w:after="0" w:line="264" w:lineRule="auto"/>
              <w:ind w:left="0"/>
            </w:pPr>
            <w:r>
              <w:rPr>
                <w:rFonts w:cs="Calibri"/>
                <w:sz w:val="18"/>
              </w:rPr>
              <w:t>Hohe Priorität</w:t>
            </w:r>
          </w:p>
        </w:tc>
        <w:tc>
          <w:tcPr>
            <w:tcW w:w="2988" w:type="dxa"/>
          </w:tcPr>
          <w:p w14:paraId="35E6819E" w14:textId="77777777" w:rsidR="00D80E44" w:rsidRDefault="004530DE" w:rsidP="00236AE7">
            <w:pPr>
              <w:spacing w:after="0" w:line="264" w:lineRule="auto"/>
              <w:ind w:left="0"/>
            </w:pPr>
            <w:r>
              <w:rPr>
                <w:rFonts w:cs="Calibri"/>
                <w:sz w:val="18"/>
              </w:rPr>
              <w:t>Betriebshandbuch / Reviewkalender</w:t>
            </w:r>
          </w:p>
        </w:tc>
      </w:tr>
      <w:tr w:rsidR="00D80E44" w14:paraId="3271B60D" w14:textId="77777777">
        <w:trPr>
          <w:cantSplit/>
        </w:trPr>
        <w:tc>
          <w:tcPr>
            <w:tcW w:w="1463" w:type="dxa"/>
          </w:tcPr>
          <w:p w14:paraId="22440255" w14:textId="77777777" w:rsidR="00D80E44" w:rsidRDefault="004530DE" w:rsidP="00236AE7">
            <w:pPr>
              <w:spacing w:after="0" w:line="264" w:lineRule="auto"/>
              <w:ind w:left="0"/>
            </w:pPr>
            <w:r>
              <w:rPr>
                <w:rFonts w:cs="Calibri"/>
                <w:sz w:val="18"/>
              </w:rPr>
              <w:t>Transparenz</w:t>
            </w:r>
          </w:p>
        </w:tc>
        <w:tc>
          <w:tcPr>
            <w:tcW w:w="3762" w:type="dxa"/>
          </w:tcPr>
          <w:p w14:paraId="261A476E" w14:textId="77777777" w:rsidR="00D80E44" w:rsidRDefault="004530DE" w:rsidP="00236AE7">
            <w:pPr>
              <w:spacing w:after="0" w:line="264" w:lineRule="auto"/>
              <w:ind w:left="0"/>
            </w:pPr>
            <w:r>
              <w:rPr>
                <w:rFonts w:cs="Calibri"/>
                <w:sz w:val="18"/>
              </w:rPr>
              <w:t>Prozess für Deepfakes und öffentliche, nicht redaktionell kontrollierte KI-Texte einrichten.</w:t>
            </w:r>
          </w:p>
        </w:tc>
        <w:tc>
          <w:tcPr>
            <w:tcW w:w="1567" w:type="dxa"/>
            <w:shd w:val="clear" w:color="auto" w:fill="FFF8E6"/>
          </w:tcPr>
          <w:p w14:paraId="5933048D" w14:textId="77777777" w:rsidR="00D80E44" w:rsidRDefault="004530DE" w:rsidP="00236AE7">
            <w:pPr>
              <w:spacing w:after="0" w:line="264" w:lineRule="auto"/>
              <w:ind w:left="0"/>
            </w:pPr>
            <w:r>
              <w:rPr>
                <w:rFonts w:cs="Calibri"/>
                <w:sz w:val="18"/>
              </w:rPr>
              <w:t>Hohe Priorität</w:t>
            </w:r>
          </w:p>
        </w:tc>
        <w:tc>
          <w:tcPr>
            <w:tcW w:w="2988" w:type="dxa"/>
          </w:tcPr>
          <w:p w14:paraId="15427AE7" w14:textId="77777777" w:rsidR="00D80E44" w:rsidRDefault="004530DE" w:rsidP="00236AE7">
            <w:pPr>
              <w:spacing w:after="0" w:line="264" w:lineRule="auto"/>
              <w:ind w:left="0"/>
            </w:pPr>
            <w:r>
              <w:rPr>
                <w:rFonts w:cs="Calibri"/>
                <w:sz w:val="18"/>
              </w:rPr>
              <w:t>Freigabe- und Kennzeichnungsvorlage</w:t>
            </w:r>
          </w:p>
        </w:tc>
      </w:tr>
      <w:tr w:rsidR="00D80E44" w14:paraId="23AE5916" w14:textId="77777777">
        <w:trPr>
          <w:cantSplit/>
        </w:trPr>
        <w:tc>
          <w:tcPr>
            <w:tcW w:w="1463" w:type="dxa"/>
          </w:tcPr>
          <w:p w14:paraId="4F61EB29" w14:textId="77777777" w:rsidR="00D80E44" w:rsidRDefault="004530DE" w:rsidP="00236AE7">
            <w:pPr>
              <w:spacing w:after="0" w:line="264" w:lineRule="auto"/>
              <w:ind w:left="0"/>
            </w:pPr>
            <w:r>
              <w:rPr>
                <w:rFonts w:cs="Calibri"/>
                <w:sz w:val="18"/>
              </w:rPr>
              <w:t>Skalierung</w:t>
            </w:r>
          </w:p>
        </w:tc>
        <w:tc>
          <w:tcPr>
            <w:tcW w:w="3762" w:type="dxa"/>
          </w:tcPr>
          <w:p w14:paraId="7A8766F2" w14:textId="77777777" w:rsidR="00D80E44" w:rsidRDefault="004530DE" w:rsidP="00236AE7">
            <w:pPr>
              <w:spacing w:after="0" w:line="264" w:lineRule="auto"/>
              <w:ind w:left="0"/>
            </w:pPr>
            <w:r>
              <w:rPr>
                <w:rFonts w:cs="Calibri"/>
                <w:sz w:val="18"/>
              </w:rPr>
              <w:t>Pilot auswerten, Scope schrittweise erweitern und neue Agents / Connectoren einzeln freigeben.</w:t>
            </w:r>
          </w:p>
        </w:tc>
        <w:tc>
          <w:tcPr>
            <w:tcW w:w="1567" w:type="dxa"/>
            <w:shd w:val="clear" w:color="auto" w:fill="EDF8F0"/>
          </w:tcPr>
          <w:p w14:paraId="37855710" w14:textId="77777777" w:rsidR="00D80E44" w:rsidRDefault="004530DE" w:rsidP="00236AE7">
            <w:pPr>
              <w:spacing w:after="0" w:line="264" w:lineRule="auto"/>
              <w:ind w:left="0"/>
            </w:pPr>
            <w:r>
              <w:rPr>
                <w:rFonts w:cs="Calibri"/>
                <w:sz w:val="18"/>
              </w:rPr>
              <w:t>Laufend</w:t>
            </w:r>
          </w:p>
        </w:tc>
        <w:tc>
          <w:tcPr>
            <w:tcW w:w="2988" w:type="dxa"/>
          </w:tcPr>
          <w:p w14:paraId="1169D21D" w14:textId="77777777" w:rsidR="00D80E44" w:rsidRDefault="004530DE" w:rsidP="00236AE7">
            <w:pPr>
              <w:spacing w:after="0" w:line="264" w:lineRule="auto"/>
              <w:ind w:left="0"/>
            </w:pPr>
            <w:r>
              <w:rPr>
                <w:rFonts w:cs="Calibri"/>
                <w:sz w:val="18"/>
              </w:rPr>
              <w:t>Pilotbericht / Freigabeprotokoll</w:t>
            </w:r>
          </w:p>
        </w:tc>
      </w:tr>
    </w:tbl>
    <w:p w14:paraId="729C5D75" w14:textId="77777777" w:rsidR="00D80E44" w:rsidRDefault="00D80E44">
      <w:pPr>
        <w:spacing w:after="0"/>
      </w:pPr>
    </w:p>
    <w:p w14:paraId="24972B37" w14:textId="77777777" w:rsidR="00D542F3" w:rsidRDefault="00D542F3">
      <w:pPr>
        <w:tabs>
          <w:tab w:val="clear" w:pos="9780"/>
        </w:tabs>
        <w:spacing w:after="200" w:line="276" w:lineRule="auto"/>
        <w:ind w:left="0"/>
        <w:rPr>
          <w:rFonts w:cs="Calibri"/>
          <w:b/>
          <w:color w:val="F25022"/>
          <w:sz w:val="36"/>
          <w:szCs w:val="36"/>
        </w:rPr>
      </w:pPr>
      <w:r>
        <w:rPr>
          <w:rFonts w:cs="Calibri"/>
        </w:rPr>
        <w:br w:type="page"/>
      </w:r>
    </w:p>
    <w:p w14:paraId="73BA41BE" w14:textId="379685C8" w:rsidR="00D80E44" w:rsidRDefault="004530DE">
      <w:pPr>
        <w:pStyle w:val="berschrift1"/>
      </w:pPr>
      <w:bookmarkStart w:id="39" w:name="_Toc236813405"/>
      <w:r>
        <w:rPr>
          <w:rFonts w:cs="Calibri"/>
        </w:rPr>
        <w:t>90-Tage-Plan</w:t>
      </w:r>
      <w:bookmarkEnd w:id="39"/>
    </w:p>
    <w:tbl>
      <w:tblPr>
        <w:tblW w:w="9780" w:type="dxa"/>
        <w:tblInd w:w="120" w:type="dxa"/>
        <w:tblLayout w:type="fixed"/>
        <w:tblLook w:val="04A0" w:firstRow="1" w:lastRow="0" w:firstColumn="1" w:lastColumn="0" w:noHBand="0" w:noVBand="1"/>
      </w:tblPr>
      <w:tblGrid>
        <w:gridCol w:w="1724"/>
        <w:gridCol w:w="2142"/>
        <w:gridCol w:w="3720"/>
        <w:gridCol w:w="2194"/>
      </w:tblGrid>
      <w:tr w:rsidR="00D80E44" w14:paraId="265E992F" w14:textId="77777777">
        <w:trPr>
          <w:cantSplit/>
          <w:tblHeader/>
        </w:trPr>
        <w:tc>
          <w:tcPr>
            <w:tcW w:w="1724"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4B791A1F" w14:textId="77777777" w:rsidR="00D80E44" w:rsidRDefault="004530DE" w:rsidP="00236AE7">
            <w:pPr>
              <w:ind w:left="0"/>
            </w:pPr>
            <w:r>
              <w:rPr>
                <w:rFonts w:cs="Calibri"/>
                <w:b/>
                <w:color w:val="333333"/>
                <w:sz w:val="19"/>
              </w:rPr>
              <w:t>Phase</w:t>
            </w:r>
          </w:p>
        </w:tc>
        <w:tc>
          <w:tcPr>
            <w:tcW w:w="2142"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7FEBFA17" w14:textId="77777777" w:rsidR="00D80E44" w:rsidRDefault="004530DE" w:rsidP="00236AE7">
            <w:pPr>
              <w:ind w:left="0"/>
            </w:pPr>
            <w:r>
              <w:rPr>
                <w:rFonts w:cs="Calibri"/>
                <w:b/>
                <w:color w:val="333333"/>
                <w:sz w:val="19"/>
              </w:rPr>
              <w:t>Ziel</w:t>
            </w:r>
          </w:p>
        </w:tc>
        <w:tc>
          <w:tcPr>
            <w:tcW w:w="3720"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1AE6349A" w14:textId="77777777" w:rsidR="00D80E44" w:rsidRDefault="004530DE" w:rsidP="00236AE7">
            <w:pPr>
              <w:ind w:left="0"/>
            </w:pPr>
            <w:r>
              <w:rPr>
                <w:rFonts w:cs="Calibri"/>
                <w:b/>
                <w:color w:val="333333"/>
                <w:sz w:val="19"/>
              </w:rPr>
              <w:t>Kernaktivitäten</w:t>
            </w:r>
          </w:p>
        </w:tc>
        <w:tc>
          <w:tcPr>
            <w:tcW w:w="2194"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0C7CAF52" w14:textId="77777777" w:rsidR="00D80E44" w:rsidRDefault="004530DE" w:rsidP="00236AE7">
            <w:pPr>
              <w:ind w:left="0"/>
            </w:pPr>
            <w:r>
              <w:rPr>
                <w:rFonts w:cs="Calibri"/>
                <w:b/>
                <w:color w:val="333333"/>
                <w:sz w:val="19"/>
              </w:rPr>
              <w:t>Ergebnis</w:t>
            </w:r>
          </w:p>
        </w:tc>
      </w:tr>
      <w:tr w:rsidR="00D80E44" w14:paraId="4E9A9B7B" w14:textId="77777777">
        <w:trPr>
          <w:cantSplit/>
        </w:trPr>
        <w:tc>
          <w:tcPr>
            <w:tcW w:w="1724" w:type="dxa"/>
          </w:tcPr>
          <w:p w14:paraId="162762FD" w14:textId="77777777" w:rsidR="00D80E44" w:rsidRDefault="004530DE" w:rsidP="00236AE7">
            <w:pPr>
              <w:spacing w:after="0" w:line="264" w:lineRule="auto"/>
              <w:ind w:left="0"/>
            </w:pPr>
            <w:r>
              <w:rPr>
                <w:rFonts w:cs="Calibri"/>
                <w:sz w:val="18"/>
              </w:rPr>
              <w:t>Tag 0-30</w:t>
            </w:r>
            <w:r>
              <w:rPr>
                <w:rFonts w:cs="Calibri"/>
                <w:sz w:val="18"/>
              </w:rPr>
              <w:br/>
              <w:t>Grundlage</w:t>
            </w:r>
          </w:p>
        </w:tc>
        <w:tc>
          <w:tcPr>
            <w:tcW w:w="2142" w:type="dxa"/>
          </w:tcPr>
          <w:p w14:paraId="000D3F42" w14:textId="77777777" w:rsidR="00D80E44" w:rsidRDefault="004530DE" w:rsidP="00236AE7">
            <w:pPr>
              <w:spacing w:after="0" w:line="264" w:lineRule="auto"/>
              <w:ind w:left="0"/>
            </w:pPr>
            <w:r>
              <w:rPr>
                <w:rFonts w:cs="Calibri"/>
                <w:sz w:val="18"/>
              </w:rPr>
              <w:t>Kontrollierten Start ermöglichen</w:t>
            </w:r>
          </w:p>
        </w:tc>
        <w:tc>
          <w:tcPr>
            <w:tcW w:w="3720" w:type="dxa"/>
          </w:tcPr>
          <w:p w14:paraId="1740750F" w14:textId="77777777" w:rsidR="00D80E44" w:rsidRDefault="004530DE" w:rsidP="00236AE7">
            <w:pPr>
              <w:spacing w:after="0" w:line="264" w:lineRule="auto"/>
              <w:ind w:left="0"/>
            </w:pPr>
            <w:r>
              <w:rPr>
                <w:rFonts w:cs="Calibri"/>
                <w:sz w:val="18"/>
              </w:rPr>
              <w:t>Scope festlegen, Daten-/Berechtigungsrisiken bewerten, Rollen benennen, Leitlinie entwerfen, Pilotgruppe auswählen.</w:t>
            </w:r>
          </w:p>
        </w:tc>
        <w:tc>
          <w:tcPr>
            <w:tcW w:w="2194" w:type="dxa"/>
          </w:tcPr>
          <w:p w14:paraId="1ED78F21" w14:textId="77777777" w:rsidR="00D80E44" w:rsidRDefault="004530DE" w:rsidP="00236AE7">
            <w:pPr>
              <w:spacing w:after="0" w:line="264" w:lineRule="auto"/>
              <w:ind w:left="0"/>
            </w:pPr>
            <w:r>
              <w:rPr>
                <w:rFonts w:cs="Calibri"/>
                <w:sz w:val="18"/>
              </w:rPr>
              <w:t>Freigegebener Pilot mit klaren Guardrails</w:t>
            </w:r>
          </w:p>
        </w:tc>
      </w:tr>
      <w:tr w:rsidR="00D80E44" w14:paraId="62C04E76" w14:textId="77777777">
        <w:trPr>
          <w:cantSplit/>
        </w:trPr>
        <w:tc>
          <w:tcPr>
            <w:tcW w:w="1724" w:type="dxa"/>
          </w:tcPr>
          <w:p w14:paraId="1C4B91AE" w14:textId="77777777" w:rsidR="00D80E44" w:rsidRDefault="004530DE" w:rsidP="00236AE7">
            <w:pPr>
              <w:spacing w:after="0" w:line="264" w:lineRule="auto"/>
              <w:ind w:left="0"/>
            </w:pPr>
            <w:r>
              <w:rPr>
                <w:rFonts w:cs="Calibri"/>
                <w:sz w:val="18"/>
              </w:rPr>
              <w:t>Tag 31-60</w:t>
            </w:r>
            <w:r>
              <w:rPr>
                <w:rFonts w:cs="Calibri"/>
                <w:sz w:val="18"/>
              </w:rPr>
              <w:br/>
              <w:t>Pilot</w:t>
            </w:r>
          </w:p>
        </w:tc>
        <w:tc>
          <w:tcPr>
            <w:tcW w:w="2142" w:type="dxa"/>
          </w:tcPr>
          <w:p w14:paraId="1A208B71" w14:textId="77777777" w:rsidR="00D80E44" w:rsidRDefault="004530DE" w:rsidP="00236AE7">
            <w:pPr>
              <w:spacing w:after="0" w:line="264" w:lineRule="auto"/>
              <w:ind w:left="0"/>
            </w:pPr>
            <w:r>
              <w:rPr>
                <w:rFonts w:cs="Calibri"/>
                <w:sz w:val="18"/>
              </w:rPr>
              <w:t>Nutzung validieren</w:t>
            </w:r>
          </w:p>
        </w:tc>
        <w:tc>
          <w:tcPr>
            <w:tcW w:w="3720" w:type="dxa"/>
          </w:tcPr>
          <w:p w14:paraId="6D922F9C" w14:textId="77777777" w:rsidR="00D80E44" w:rsidRDefault="004530DE" w:rsidP="00236AE7">
            <w:pPr>
              <w:spacing w:after="0" w:line="264" w:lineRule="auto"/>
              <w:ind w:left="0"/>
            </w:pPr>
            <w:r>
              <w:rPr>
                <w:rFonts w:cs="Calibri"/>
                <w:sz w:val="18"/>
              </w:rPr>
              <w:t>Schulung durchführen, realistische Use Cases testen, DLP/Labels/Audit prüfen, Feedback und Risiken sammeln.</w:t>
            </w:r>
          </w:p>
        </w:tc>
        <w:tc>
          <w:tcPr>
            <w:tcW w:w="2194" w:type="dxa"/>
          </w:tcPr>
          <w:p w14:paraId="1C397167" w14:textId="77777777" w:rsidR="00D80E44" w:rsidRDefault="004530DE" w:rsidP="00236AE7">
            <w:pPr>
              <w:spacing w:after="0" w:line="264" w:lineRule="auto"/>
              <w:ind w:left="0"/>
            </w:pPr>
            <w:r>
              <w:rPr>
                <w:rFonts w:cs="Calibri"/>
                <w:sz w:val="18"/>
              </w:rPr>
              <w:t>Pilotbericht, offene Maßnahmen und Rollout-Entscheidung</w:t>
            </w:r>
          </w:p>
        </w:tc>
      </w:tr>
      <w:tr w:rsidR="00D80E44" w14:paraId="021519D7" w14:textId="77777777">
        <w:trPr>
          <w:cantSplit/>
        </w:trPr>
        <w:tc>
          <w:tcPr>
            <w:tcW w:w="1724" w:type="dxa"/>
          </w:tcPr>
          <w:p w14:paraId="068F011A" w14:textId="77777777" w:rsidR="00D80E44" w:rsidRDefault="004530DE" w:rsidP="00236AE7">
            <w:pPr>
              <w:spacing w:after="0" w:line="264" w:lineRule="auto"/>
              <w:ind w:left="0"/>
            </w:pPr>
            <w:r>
              <w:rPr>
                <w:rFonts w:cs="Calibri"/>
                <w:sz w:val="18"/>
              </w:rPr>
              <w:t>Tag 61-90</w:t>
            </w:r>
            <w:r>
              <w:rPr>
                <w:rFonts w:cs="Calibri"/>
                <w:sz w:val="18"/>
              </w:rPr>
              <w:br/>
              <w:t>Skalierung</w:t>
            </w:r>
          </w:p>
        </w:tc>
        <w:tc>
          <w:tcPr>
            <w:tcW w:w="2142" w:type="dxa"/>
          </w:tcPr>
          <w:p w14:paraId="3729FC11" w14:textId="77777777" w:rsidR="00D80E44" w:rsidRDefault="004530DE" w:rsidP="00236AE7">
            <w:pPr>
              <w:spacing w:after="0" w:line="264" w:lineRule="auto"/>
              <w:ind w:left="0"/>
            </w:pPr>
            <w:r>
              <w:rPr>
                <w:rFonts w:cs="Calibri"/>
                <w:sz w:val="18"/>
              </w:rPr>
              <w:t>Verantwortlich ausweiten</w:t>
            </w:r>
          </w:p>
        </w:tc>
        <w:tc>
          <w:tcPr>
            <w:tcW w:w="3720" w:type="dxa"/>
          </w:tcPr>
          <w:p w14:paraId="60B7E5CD" w14:textId="77777777" w:rsidR="00D80E44" w:rsidRDefault="004530DE" w:rsidP="00236AE7">
            <w:pPr>
              <w:spacing w:after="0" w:line="264" w:lineRule="auto"/>
              <w:ind w:left="0"/>
            </w:pPr>
            <w:r>
              <w:rPr>
                <w:rFonts w:cs="Calibri"/>
                <w:sz w:val="18"/>
              </w:rPr>
              <w:t>Priorisierte Lücken schließen, Leitlinie veröffentlichen, Freigabeprozess etablieren, weitere Gruppen stufenweise aktivieren.</w:t>
            </w:r>
          </w:p>
        </w:tc>
        <w:tc>
          <w:tcPr>
            <w:tcW w:w="2194" w:type="dxa"/>
          </w:tcPr>
          <w:p w14:paraId="09F7CA35" w14:textId="77777777" w:rsidR="00D80E44" w:rsidRDefault="004530DE" w:rsidP="00236AE7">
            <w:pPr>
              <w:spacing w:after="0" w:line="264" w:lineRule="auto"/>
              <w:ind w:left="0"/>
            </w:pPr>
            <w:r>
              <w:rPr>
                <w:rFonts w:cs="Calibri"/>
                <w:sz w:val="18"/>
              </w:rPr>
              <w:t>Nachweisbarer Regelbetrieb mit Reviewkalender</w:t>
            </w:r>
          </w:p>
        </w:tc>
      </w:tr>
    </w:tbl>
    <w:p w14:paraId="7E8D04A0" w14:textId="77777777" w:rsidR="00D80E44" w:rsidRDefault="00D80E44">
      <w:pPr>
        <w:spacing w:after="0"/>
      </w:pPr>
    </w:p>
    <w:p w14:paraId="7AC9C953" w14:textId="77777777" w:rsidR="00D542F3" w:rsidRDefault="00D542F3">
      <w:pPr>
        <w:tabs>
          <w:tab w:val="clear" w:pos="9780"/>
        </w:tabs>
        <w:spacing w:after="200" w:line="276" w:lineRule="auto"/>
        <w:ind w:left="0"/>
        <w:rPr>
          <w:rFonts w:cs="Calibri"/>
          <w:b/>
          <w:color w:val="F25022"/>
          <w:sz w:val="36"/>
          <w:szCs w:val="36"/>
        </w:rPr>
      </w:pPr>
      <w:r>
        <w:rPr>
          <w:rFonts w:cs="Calibri"/>
        </w:rPr>
        <w:br w:type="page"/>
      </w:r>
    </w:p>
    <w:p w14:paraId="02F75ED3" w14:textId="5661A37D" w:rsidR="00D80E44" w:rsidRDefault="004530DE">
      <w:pPr>
        <w:pStyle w:val="berschrift1"/>
      </w:pPr>
      <w:bookmarkStart w:id="40" w:name="_Toc236813406"/>
      <w:r>
        <w:rPr>
          <w:rFonts w:cs="Calibri"/>
        </w:rPr>
        <w:t>Nachweise und Regelbetrieb</w:t>
      </w:r>
      <w:bookmarkEnd w:id="40"/>
    </w:p>
    <w:p w14:paraId="66FD7009" w14:textId="77777777" w:rsidR="00D80E44" w:rsidRDefault="004530DE">
      <w:r>
        <w:rPr>
          <w:rFonts w:cs="Calibri"/>
        </w:rPr>
        <w:t>Mit der Rollout-Freigabe beginnt der eigentliche Governance-Betrieb. Nachweise sollen nicht als separate Bürokratie entstehen, sondern direkt aus den echten Entscheidungs-, Prüf- und Schulungsabläufen hervorgehen. Jede Maßnahme erhält mindestens einen Owner, einen Status, einen Ablageort und ein Reviewdatum.</w:t>
      </w:r>
    </w:p>
    <w:p w14:paraId="23BFE9A2" w14:textId="48CBA98B" w:rsidR="00D80E44" w:rsidRDefault="004530DE" w:rsidP="00D542F3">
      <w:pPr>
        <w:pStyle w:val="berschrift2"/>
      </w:pPr>
      <w:bookmarkStart w:id="41" w:name="_Toc236813407"/>
      <w:r>
        <w:t>Mindestbestand eines Audit- und Nachweispakets</w:t>
      </w:r>
      <w:bookmarkEnd w:id="41"/>
    </w:p>
    <w:tbl>
      <w:tblPr>
        <w:tblW w:w="9780" w:type="dxa"/>
        <w:tblInd w:w="120" w:type="dxa"/>
        <w:tblLayout w:type="fixed"/>
        <w:tblLook w:val="04A0" w:firstRow="1" w:lastRow="0" w:firstColumn="1" w:lastColumn="0" w:noHBand="0" w:noVBand="1"/>
      </w:tblPr>
      <w:tblGrid>
        <w:gridCol w:w="2152"/>
        <w:gridCol w:w="5089"/>
        <w:gridCol w:w="2539"/>
      </w:tblGrid>
      <w:tr w:rsidR="00D80E44" w14:paraId="4B0A5BE9" w14:textId="77777777">
        <w:trPr>
          <w:cantSplit/>
          <w:tblHeader/>
        </w:trPr>
        <w:tc>
          <w:tcPr>
            <w:tcW w:w="2152"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1472A699" w14:textId="77777777" w:rsidR="00D80E44" w:rsidRDefault="004530DE" w:rsidP="00236AE7">
            <w:pPr>
              <w:ind w:left="0"/>
            </w:pPr>
            <w:r>
              <w:rPr>
                <w:rFonts w:cs="Calibri"/>
                <w:b/>
                <w:color w:val="333333"/>
                <w:sz w:val="19"/>
              </w:rPr>
              <w:t>Nachweis</w:t>
            </w:r>
          </w:p>
        </w:tc>
        <w:tc>
          <w:tcPr>
            <w:tcW w:w="5089"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0D6DFEA5" w14:textId="77777777" w:rsidR="00D80E44" w:rsidRDefault="004530DE" w:rsidP="00236AE7">
            <w:pPr>
              <w:ind w:left="0"/>
            </w:pPr>
            <w:r>
              <w:rPr>
                <w:rFonts w:cs="Calibri"/>
                <w:b/>
                <w:color w:val="333333"/>
                <w:sz w:val="19"/>
              </w:rPr>
              <w:t>Mindestinhalt</w:t>
            </w:r>
          </w:p>
        </w:tc>
        <w:tc>
          <w:tcPr>
            <w:tcW w:w="2539"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4FCEC938" w14:textId="77777777" w:rsidR="00D80E44" w:rsidRDefault="004530DE" w:rsidP="00236AE7">
            <w:pPr>
              <w:ind w:left="0"/>
            </w:pPr>
            <w:r>
              <w:rPr>
                <w:rFonts w:cs="Calibri"/>
                <w:b/>
                <w:color w:val="333333"/>
                <w:sz w:val="19"/>
              </w:rPr>
              <w:t>Owner / Aktualisierung</w:t>
            </w:r>
          </w:p>
        </w:tc>
      </w:tr>
      <w:tr w:rsidR="00D80E44" w14:paraId="7572B0D6" w14:textId="77777777">
        <w:trPr>
          <w:cantSplit/>
        </w:trPr>
        <w:tc>
          <w:tcPr>
            <w:tcW w:w="2152" w:type="dxa"/>
          </w:tcPr>
          <w:p w14:paraId="6774C911" w14:textId="77777777" w:rsidR="00D80E44" w:rsidRDefault="004530DE" w:rsidP="00236AE7">
            <w:pPr>
              <w:spacing w:after="0" w:line="264" w:lineRule="auto"/>
              <w:ind w:left="0"/>
            </w:pPr>
            <w:r>
              <w:rPr>
                <w:rFonts w:cs="Calibri"/>
                <w:sz w:val="18"/>
              </w:rPr>
              <w:t>KI-System- und Agentenregister</w:t>
            </w:r>
          </w:p>
        </w:tc>
        <w:tc>
          <w:tcPr>
            <w:tcW w:w="5089" w:type="dxa"/>
          </w:tcPr>
          <w:p w14:paraId="06527FB3" w14:textId="77777777" w:rsidR="00D80E44" w:rsidRDefault="004530DE" w:rsidP="00236AE7">
            <w:pPr>
              <w:spacing w:after="0" w:line="264" w:lineRule="auto"/>
              <w:ind w:left="0"/>
            </w:pPr>
            <w:r>
              <w:rPr>
                <w:rFonts w:cs="Calibri"/>
                <w:sz w:val="18"/>
              </w:rPr>
              <w:t>System, Hersteller, Zweck, Copilot-Variante, Datenquellen, Owner, Risiko, Freigabe, Auflagen und nächstes Review.</w:t>
            </w:r>
          </w:p>
        </w:tc>
        <w:tc>
          <w:tcPr>
            <w:tcW w:w="2539" w:type="dxa"/>
          </w:tcPr>
          <w:p w14:paraId="25F9A66F" w14:textId="77777777" w:rsidR="00D80E44" w:rsidRDefault="004530DE" w:rsidP="00236AE7">
            <w:pPr>
              <w:spacing w:after="0" w:line="264" w:lineRule="auto"/>
              <w:ind w:left="0"/>
            </w:pPr>
            <w:r>
              <w:rPr>
                <w:rFonts w:cs="Calibri"/>
                <w:sz w:val="18"/>
              </w:rPr>
              <w:t>KI-Verantwortung; bei Neuaufnahme und mindestens quartalsweise.</w:t>
            </w:r>
          </w:p>
        </w:tc>
      </w:tr>
      <w:tr w:rsidR="00D80E44" w14:paraId="3C45E644" w14:textId="77777777">
        <w:trPr>
          <w:cantSplit/>
        </w:trPr>
        <w:tc>
          <w:tcPr>
            <w:tcW w:w="2152" w:type="dxa"/>
          </w:tcPr>
          <w:p w14:paraId="4BF6EAA4" w14:textId="77777777" w:rsidR="00D80E44" w:rsidRDefault="004530DE" w:rsidP="00236AE7">
            <w:pPr>
              <w:spacing w:after="0" w:line="264" w:lineRule="auto"/>
              <w:ind w:left="0"/>
            </w:pPr>
            <w:r>
              <w:rPr>
                <w:rFonts w:cs="Calibri"/>
                <w:sz w:val="18"/>
              </w:rPr>
              <w:t>Use-Case-Register</w:t>
            </w:r>
          </w:p>
        </w:tc>
        <w:tc>
          <w:tcPr>
            <w:tcW w:w="5089" w:type="dxa"/>
          </w:tcPr>
          <w:p w14:paraId="5A947ACE" w14:textId="77777777" w:rsidR="00D80E44" w:rsidRDefault="004530DE" w:rsidP="00236AE7">
            <w:pPr>
              <w:spacing w:after="0" w:line="264" w:lineRule="auto"/>
              <w:ind w:left="0"/>
            </w:pPr>
            <w:r>
              <w:rPr>
                <w:rFonts w:cs="Calibri"/>
                <w:sz w:val="18"/>
              </w:rPr>
              <w:t>Ampelstatus, Nutzerkreis, Datenklasse, menschliche Kontrolle, Freigabeweg, Restrisiken und Ergebnis des Pilotreviews.</w:t>
            </w:r>
          </w:p>
        </w:tc>
        <w:tc>
          <w:tcPr>
            <w:tcW w:w="2539" w:type="dxa"/>
          </w:tcPr>
          <w:p w14:paraId="0D3819E4" w14:textId="77777777" w:rsidR="00D80E44" w:rsidRDefault="004530DE" w:rsidP="00236AE7">
            <w:pPr>
              <w:spacing w:after="0" w:line="264" w:lineRule="auto"/>
              <w:ind w:left="0"/>
            </w:pPr>
            <w:r>
              <w:rPr>
                <w:rFonts w:cs="Calibri"/>
                <w:sz w:val="18"/>
              </w:rPr>
              <w:t>Fach-Owner; bei Änderung oder spätestens zum Reviewtermin.</w:t>
            </w:r>
          </w:p>
        </w:tc>
      </w:tr>
      <w:tr w:rsidR="00D80E44" w14:paraId="59C1F12C" w14:textId="77777777">
        <w:trPr>
          <w:cantSplit/>
        </w:trPr>
        <w:tc>
          <w:tcPr>
            <w:tcW w:w="2152" w:type="dxa"/>
          </w:tcPr>
          <w:p w14:paraId="609F9F82" w14:textId="77777777" w:rsidR="00D80E44" w:rsidRDefault="004530DE" w:rsidP="00236AE7">
            <w:pPr>
              <w:spacing w:after="0" w:line="264" w:lineRule="auto"/>
              <w:ind w:left="0"/>
            </w:pPr>
            <w:r>
              <w:rPr>
                <w:rFonts w:cs="Calibri"/>
                <w:sz w:val="18"/>
              </w:rPr>
              <w:t>Technische Readiness-Evidenz</w:t>
            </w:r>
          </w:p>
        </w:tc>
        <w:tc>
          <w:tcPr>
            <w:tcW w:w="5089" w:type="dxa"/>
          </w:tcPr>
          <w:p w14:paraId="66B73223" w14:textId="77777777" w:rsidR="00D80E44" w:rsidRDefault="004530DE" w:rsidP="00236AE7">
            <w:pPr>
              <w:spacing w:after="0" w:line="264" w:lineRule="auto"/>
              <w:ind w:left="0"/>
            </w:pPr>
            <w:r>
              <w:rPr>
                <w:rFonts w:cs="Calibri"/>
                <w:sz w:val="18"/>
              </w:rPr>
              <w:t>Berechtigungsreview, Label-/DLP-Tests, Audit-/Retention-Entscheidung, Konfigurationsauszüge, Abweichungen und Remediation.</w:t>
            </w:r>
          </w:p>
        </w:tc>
        <w:tc>
          <w:tcPr>
            <w:tcW w:w="2539" w:type="dxa"/>
          </w:tcPr>
          <w:p w14:paraId="1D0B68D8" w14:textId="77777777" w:rsidR="00D80E44" w:rsidRDefault="004530DE" w:rsidP="00236AE7">
            <w:pPr>
              <w:spacing w:after="0" w:line="264" w:lineRule="auto"/>
              <w:ind w:left="0"/>
            </w:pPr>
            <w:r>
              <w:rPr>
                <w:rFonts w:cs="Calibri"/>
                <w:sz w:val="18"/>
              </w:rPr>
              <w:t>IT / Informationssicherheit; vor Skalierung und bei technischen Änderungen.</w:t>
            </w:r>
          </w:p>
        </w:tc>
      </w:tr>
      <w:tr w:rsidR="00D80E44" w14:paraId="544C760B" w14:textId="77777777">
        <w:trPr>
          <w:cantSplit/>
        </w:trPr>
        <w:tc>
          <w:tcPr>
            <w:tcW w:w="2152" w:type="dxa"/>
          </w:tcPr>
          <w:p w14:paraId="004E0280" w14:textId="77777777" w:rsidR="00D80E44" w:rsidRDefault="004530DE" w:rsidP="00236AE7">
            <w:pPr>
              <w:spacing w:after="0" w:line="264" w:lineRule="auto"/>
              <w:ind w:left="0"/>
            </w:pPr>
            <w:r>
              <w:rPr>
                <w:rFonts w:cs="Calibri"/>
                <w:sz w:val="18"/>
              </w:rPr>
              <w:t>Datenschutz- und Rechtsprüfung</w:t>
            </w:r>
          </w:p>
        </w:tc>
        <w:tc>
          <w:tcPr>
            <w:tcW w:w="5089" w:type="dxa"/>
          </w:tcPr>
          <w:p w14:paraId="4BC28FFD" w14:textId="77777777" w:rsidR="00D80E44" w:rsidRDefault="004530DE" w:rsidP="00236AE7">
            <w:pPr>
              <w:spacing w:after="0" w:line="264" w:lineRule="auto"/>
              <w:ind w:left="0"/>
            </w:pPr>
            <w:r>
              <w:rPr>
                <w:rFonts w:cs="Calibri"/>
                <w:sz w:val="18"/>
              </w:rPr>
              <w:t>Datenfluss, Rechtsgrundlage, Auftragsverarbeitung, DSFA-Trigger, Beschäftigtenbezug, Transparenz- oder Urheberrechtsfragen.</w:t>
            </w:r>
          </w:p>
        </w:tc>
        <w:tc>
          <w:tcPr>
            <w:tcW w:w="2539" w:type="dxa"/>
          </w:tcPr>
          <w:p w14:paraId="021AAC31" w14:textId="77777777" w:rsidR="00D80E44" w:rsidRDefault="004530DE" w:rsidP="00236AE7">
            <w:pPr>
              <w:spacing w:after="0" w:line="264" w:lineRule="auto"/>
              <w:ind w:left="0"/>
            </w:pPr>
            <w:r>
              <w:rPr>
                <w:rFonts w:cs="Calibri"/>
                <w:sz w:val="18"/>
              </w:rPr>
              <w:t>Datenschutz / Recht; pro relevantem Use Case und Anlass.</w:t>
            </w:r>
          </w:p>
        </w:tc>
      </w:tr>
      <w:tr w:rsidR="00D80E44" w14:paraId="3B8BCE3A" w14:textId="77777777">
        <w:trPr>
          <w:cantSplit/>
        </w:trPr>
        <w:tc>
          <w:tcPr>
            <w:tcW w:w="2152" w:type="dxa"/>
          </w:tcPr>
          <w:p w14:paraId="14595E37" w14:textId="77777777" w:rsidR="00D80E44" w:rsidRDefault="004530DE" w:rsidP="00236AE7">
            <w:pPr>
              <w:spacing w:after="0" w:line="264" w:lineRule="auto"/>
              <w:ind w:left="0"/>
            </w:pPr>
            <w:r>
              <w:rPr>
                <w:rFonts w:cs="Calibri"/>
                <w:sz w:val="18"/>
              </w:rPr>
              <w:t>Nutzungsleitlinie und Schulung</w:t>
            </w:r>
          </w:p>
        </w:tc>
        <w:tc>
          <w:tcPr>
            <w:tcW w:w="5089" w:type="dxa"/>
          </w:tcPr>
          <w:p w14:paraId="438022C5" w14:textId="77777777" w:rsidR="00D80E44" w:rsidRDefault="004530DE" w:rsidP="00236AE7">
            <w:pPr>
              <w:spacing w:after="0" w:line="264" w:lineRule="auto"/>
              <w:ind w:left="0"/>
            </w:pPr>
            <w:r>
              <w:rPr>
                <w:rFonts w:cs="Calibri"/>
                <w:sz w:val="18"/>
              </w:rPr>
              <w:t>Versionierte Regel, Freigabe, Zielgruppen, Inhalte, Durchführung, Teilnahme, Guidance, FAQ und Auffrischung.</w:t>
            </w:r>
          </w:p>
        </w:tc>
        <w:tc>
          <w:tcPr>
            <w:tcW w:w="2539" w:type="dxa"/>
          </w:tcPr>
          <w:p w14:paraId="25C2C1A6" w14:textId="77777777" w:rsidR="00D80E44" w:rsidRDefault="004530DE" w:rsidP="00236AE7">
            <w:pPr>
              <w:spacing w:after="0" w:line="264" w:lineRule="auto"/>
              <w:ind w:left="0"/>
            </w:pPr>
            <w:r>
              <w:rPr>
                <w:rFonts w:cs="Calibri"/>
                <w:sz w:val="18"/>
              </w:rPr>
              <w:t>KI-Verantwortung / HR; bei Regel- oder Funktionsänderungen.</w:t>
            </w:r>
          </w:p>
        </w:tc>
      </w:tr>
      <w:tr w:rsidR="00D80E44" w14:paraId="5B7079BC" w14:textId="77777777">
        <w:trPr>
          <w:cantSplit/>
        </w:trPr>
        <w:tc>
          <w:tcPr>
            <w:tcW w:w="2152" w:type="dxa"/>
          </w:tcPr>
          <w:p w14:paraId="7D736780" w14:textId="77777777" w:rsidR="00D80E44" w:rsidRDefault="004530DE" w:rsidP="00236AE7">
            <w:pPr>
              <w:spacing w:after="0" w:line="264" w:lineRule="auto"/>
              <w:ind w:left="0"/>
            </w:pPr>
            <w:r>
              <w:rPr>
                <w:rFonts w:cs="Calibri"/>
                <w:sz w:val="18"/>
              </w:rPr>
              <w:t>Incident- und Abweichungsregister</w:t>
            </w:r>
          </w:p>
        </w:tc>
        <w:tc>
          <w:tcPr>
            <w:tcW w:w="5089" w:type="dxa"/>
          </w:tcPr>
          <w:p w14:paraId="4F5690EF" w14:textId="77777777" w:rsidR="00D80E44" w:rsidRDefault="004530DE" w:rsidP="00236AE7">
            <w:pPr>
              <w:spacing w:after="0" w:line="264" w:lineRule="auto"/>
              <w:ind w:left="0"/>
            </w:pPr>
            <w:r>
              <w:rPr>
                <w:rFonts w:cs="Calibri"/>
                <w:sz w:val="18"/>
              </w:rPr>
              <w:t>Meldung, Auswirkung, Sofortmaßnahme, Entscheidung, Kommunikation, Lessons Learned und Abschlussdatum.</w:t>
            </w:r>
          </w:p>
        </w:tc>
        <w:tc>
          <w:tcPr>
            <w:tcW w:w="2539" w:type="dxa"/>
          </w:tcPr>
          <w:p w14:paraId="47030F58" w14:textId="77777777" w:rsidR="00D80E44" w:rsidRDefault="004530DE" w:rsidP="00236AE7">
            <w:pPr>
              <w:spacing w:after="0" w:line="264" w:lineRule="auto"/>
              <w:ind w:left="0"/>
            </w:pPr>
            <w:r>
              <w:rPr>
                <w:rFonts w:cs="Calibri"/>
                <w:sz w:val="18"/>
              </w:rPr>
              <w:t>Security / Datenschutz / KI-Verantwortung; fortlaufend.</w:t>
            </w:r>
          </w:p>
        </w:tc>
      </w:tr>
      <w:tr w:rsidR="00D80E44" w14:paraId="62FEFE90" w14:textId="77777777">
        <w:trPr>
          <w:cantSplit/>
        </w:trPr>
        <w:tc>
          <w:tcPr>
            <w:tcW w:w="2152" w:type="dxa"/>
          </w:tcPr>
          <w:p w14:paraId="04FB082D" w14:textId="77777777" w:rsidR="00D80E44" w:rsidRDefault="004530DE" w:rsidP="00236AE7">
            <w:pPr>
              <w:spacing w:after="0" w:line="264" w:lineRule="auto"/>
              <w:ind w:left="0"/>
            </w:pPr>
            <w:r>
              <w:rPr>
                <w:rFonts w:cs="Calibri"/>
                <w:sz w:val="18"/>
              </w:rPr>
              <w:t>Management-Review</w:t>
            </w:r>
          </w:p>
        </w:tc>
        <w:tc>
          <w:tcPr>
            <w:tcW w:w="5089" w:type="dxa"/>
          </w:tcPr>
          <w:p w14:paraId="2D7568E3" w14:textId="77777777" w:rsidR="00D80E44" w:rsidRDefault="004530DE" w:rsidP="00236AE7">
            <w:pPr>
              <w:spacing w:after="0" w:line="264" w:lineRule="auto"/>
              <w:ind w:left="0"/>
            </w:pPr>
            <w:r>
              <w:rPr>
                <w:rFonts w:cs="Calibri"/>
                <w:sz w:val="18"/>
              </w:rPr>
              <w:t>Kennzahlen, offene P1-Risiken, neue Agents/Connectoren, Ausnahmen, Freigaben, Budget- und Eskalationsentscheidungen.</w:t>
            </w:r>
          </w:p>
        </w:tc>
        <w:tc>
          <w:tcPr>
            <w:tcW w:w="2539" w:type="dxa"/>
          </w:tcPr>
          <w:p w14:paraId="0C458B55" w14:textId="77777777" w:rsidR="00D80E44" w:rsidRDefault="004530DE" w:rsidP="00236AE7">
            <w:pPr>
              <w:spacing w:after="0" w:line="264" w:lineRule="auto"/>
              <w:ind w:left="0"/>
            </w:pPr>
            <w:r>
              <w:rPr>
                <w:rFonts w:cs="Calibri"/>
                <w:sz w:val="18"/>
              </w:rPr>
              <w:t>Geschäftsführung / KI-Verantwortung; mindestens quartalsweise.</w:t>
            </w:r>
          </w:p>
        </w:tc>
      </w:tr>
    </w:tbl>
    <w:p w14:paraId="6B78CD7A" w14:textId="77777777" w:rsidR="00D80E44" w:rsidRDefault="00D80E44">
      <w:pPr>
        <w:spacing w:after="0"/>
      </w:pPr>
    </w:p>
    <w:p w14:paraId="146FA221" w14:textId="14EEFEB3" w:rsidR="00D80E44" w:rsidRDefault="004530DE" w:rsidP="00D542F3">
      <w:pPr>
        <w:pStyle w:val="berschrift2"/>
      </w:pPr>
      <w:bookmarkStart w:id="42" w:name="_Toc236813408"/>
      <w:r>
        <w:t>Monatlicher und quartalsweiser Review</w:t>
      </w:r>
      <w:bookmarkEnd w:id="42"/>
    </w:p>
    <w:tbl>
      <w:tblPr>
        <w:tblW w:w="9780" w:type="dxa"/>
        <w:tblInd w:w="120" w:type="dxa"/>
        <w:tblLayout w:type="fixed"/>
        <w:tblLook w:val="04A0" w:firstRow="1" w:lastRow="0" w:firstColumn="1" w:lastColumn="0" w:noHBand="0" w:noVBand="1"/>
      </w:tblPr>
      <w:tblGrid>
        <w:gridCol w:w="2581"/>
        <w:gridCol w:w="4535"/>
        <w:gridCol w:w="2664"/>
      </w:tblGrid>
      <w:tr w:rsidR="00D80E44" w14:paraId="70EDB77C" w14:textId="77777777">
        <w:trPr>
          <w:cantSplit/>
          <w:tblHeader/>
        </w:trPr>
        <w:tc>
          <w:tcPr>
            <w:tcW w:w="2581"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19AB998B" w14:textId="77777777" w:rsidR="00D80E44" w:rsidRDefault="004530DE" w:rsidP="00236AE7">
            <w:pPr>
              <w:ind w:left="0"/>
            </w:pPr>
            <w:r>
              <w:rPr>
                <w:rFonts w:cs="Calibri"/>
                <w:b/>
                <w:color w:val="333333"/>
                <w:sz w:val="19"/>
              </w:rPr>
              <w:t>Takt</w:t>
            </w:r>
          </w:p>
        </w:tc>
        <w:tc>
          <w:tcPr>
            <w:tcW w:w="4535"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672E1CE5" w14:textId="77777777" w:rsidR="00D80E44" w:rsidRDefault="004530DE" w:rsidP="00236AE7">
            <w:pPr>
              <w:ind w:left="0"/>
            </w:pPr>
            <w:r>
              <w:rPr>
                <w:rFonts w:cs="Calibri"/>
                <w:b/>
                <w:color w:val="333333"/>
                <w:sz w:val="19"/>
              </w:rPr>
              <w:t>Agenda</w:t>
            </w:r>
          </w:p>
        </w:tc>
        <w:tc>
          <w:tcPr>
            <w:tcW w:w="2664" w:type="dxa"/>
            <w:tcBorders>
              <w:top w:val="single" w:sz="6" w:space="0" w:color="D9D9D9"/>
              <w:left w:val="single" w:sz="6" w:space="0" w:color="D9D9D9"/>
              <w:bottom w:val="single" w:sz="6" w:space="0" w:color="D9D9D9"/>
              <w:right w:val="single" w:sz="6" w:space="0" w:color="D9D9D9"/>
            </w:tcBorders>
            <w:shd w:val="clear" w:color="auto" w:fill="EDF8F0"/>
            <w:tcMar>
              <w:top w:w="80" w:type="dxa"/>
              <w:left w:w="120" w:type="dxa"/>
              <w:bottom w:w="80" w:type="dxa"/>
              <w:right w:w="120" w:type="dxa"/>
            </w:tcMar>
            <w:vAlign w:val="center"/>
          </w:tcPr>
          <w:p w14:paraId="6F176E41" w14:textId="77777777" w:rsidR="00D80E44" w:rsidRDefault="004530DE" w:rsidP="00236AE7">
            <w:pPr>
              <w:ind w:left="0"/>
            </w:pPr>
            <w:r>
              <w:rPr>
                <w:rFonts w:cs="Calibri"/>
                <w:b/>
                <w:color w:val="333333"/>
                <w:sz w:val="19"/>
              </w:rPr>
              <w:t>Entscheidung / Output</w:t>
            </w:r>
          </w:p>
        </w:tc>
      </w:tr>
      <w:tr w:rsidR="00D80E44" w14:paraId="236CD64D" w14:textId="77777777">
        <w:trPr>
          <w:cantSplit/>
        </w:trPr>
        <w:tc>
          <w:tcPr>
            <w:tcW w:w="2581" w:type="dxa"/>
          </w:tcPr>
          <w:p w14:paraId="6AA50442" w14:textId="77777777" w:rsidR="00D80E44" w:rsidRDefault="004530DE" w:rsidP="00236AE7">
            <w:pPr>
              <w:spacing w:after="0" w:line="264" w:lineRule="auto"/>
              <w:ind w:left="0"/>
            </w:pPr>
            <w:r>
              <w:rPr>
                <w:rFonts w:cs="Calibri"/>
                <w:sz w:val="18"/>
              </w:rPr>
              <w:t>Monatlich im Pilot und bei dynamischem Betrieb</w:t>
            </w:r>
          </w:p>
        </w:tc>
        <w:tc>
          <w:tcPr>
            <w:tcW w:w="4535" w:type="dxa"/>
          </w:tcPr>
          <w:p w14:paraId="57A14DB0" w14:textId="77777777" w:rsidR="00D80E44" w:rsidRDefault="004530DE" w:rsidP="00236AE7">
            <w:pPr>
              <w:spacing w:after="0" w:line="264" w:lineRule="auto"/>
              <w:ind w:left="0"/>
            </w:pPr>
            <w:r>
              <w:rPr>
                <w:rFonts w:cs="Calibri"/>
                <w:sz w:val="18"/>
              </w:rPr>
              <w:t>Neue Use Cases, Agents, Connectoren, Abweichungen, P1-Maßnahmen, Schulungsfragen, auffällige Daten- oder Berechtigungsbefunde.</w:t>
            </w:r>
          </w:p>
        </w:tc>
        <w:tc>
          <w:tcPr>
            <w:tcW w:w="2664" w:type="dxa"/>
          </w:tcPr>
          <w:p w14:paraId="622E407D" w14:textId="77777777" w:rsidR="00D80E44" w:rsidRDefault="004530DE" w:rsidP="00236AE7">
            <w:pPr>
              <w:spacing w:after="0" w:line="264" w:lineRule="auto"/>
              <w:ind w:left="0"/>
            </w:pPr>
            <w:r>
              <w:rPr>
                <w:rFonts w:cs="Calibri"/>
                <w:sz w:val="18"/>
              </w:rPr>
              <w:t>Aktualisiertes Maßnahmenlog; Entscheidungen zu Pilotfortsetzung, Auflagen oder Sperrung.</w:t>
            </w:r>
          </w:p>
        </w:tc>
      </w:tr>
      <w:tr w:rsidR="00D80E44" w14:paraId="7AC6EF1C" w14:textId="77777777">
        <w:trPr>
          <w:cantSplit/>
        </w:trPr>
        <w:tc>
          <w:tcPr>
            <w:tcW w:w="2581" w:type="dxa"/>
          </w:tcPr>
          <w:p w14:paraId="2166081D" w14:textId="77777777" w:rsidR="00D80E44" w:rsidRDefault="004530DE" w:rsidP="00236AE7">
            <w:pPr>
              <w:spacing w:after="0" w:line="264" w:lineRule="auto"/>
              <w:ind w:left="0"/>
            </w:pPr>
            <w:r>
              <w:rPr>
                <w:rFonts w:cs="Calibri"/>
                <w:sz w:val="18"/>
              </w:rPr>
              <w:t>Quartalsweise im Regelbetrieb</w:t>
            </w:r>
          </w:p>
        </w:tc>
        <w:tc>
          <w:tcPr>
            <w:tcW w:w="4535" w:type="dxa"/>
          </w:tcPr>
          <w:p w14:paraId="62520697" w14:textId="77777777" w:rsidR="00D80E44" w:rsidRDefault="004530DE" w:rsidP="00236AE7">
            <w:pPr>
              <w:spacing w:after="0" w:line="264" w:lineRule="auto"/>
              <w:ind w:left="0"/>
            </w:pPr>
            <w:r>
              <w:rPr>
                <w:rFonts w:cs="Calibri"/>
                <w:sz w:val="18"/>
              </w:rPr>
              <w:t>KI-Inventar, Freigaben, technische Kontrollen, Datenschutz- und Security-Status, Trainingsquote, Vorfälle, Nutzen und Restrisiko.</w:t>
            </w:r>
          </w:p>
        </w:tc>
        <w:tc>
          <w:tcPr>
            <w:tcW w:w="2664" w:type="dxa"/>
          </w:tcPr>
          <w:p w14:paraId="7FD3C8AF" w14:textId="77777777" w:rsidR="00D80E44" w:rsidRDefault="004530DE" w:rsidP="00236AE7">
            <w:pPr>
              <w:spacing w:after="0" w:line="264" w:lineRule="auto"/>
              <w:ind w:left="0"/>
            </w:pPr>
            <w:r>
              <w:rPr>
                <w:rFonts w:cs="Calibri"/>
                <w:sz w:val="18"/>
              </w:rPr>
              <w:t>Management-Readout, priorisierte Roadmap und bestätigter Reviewkalender.</w:t>
            </w:r>
          </w:p>
        </w:tc>
      </w:tr>
      <w:tr w:rsidR="00D80E44" w14:paraId="33522CF0" w14:textId="77777777">
        <w:trPr>
          <w:cantSplit/>
        </w:trPr>
        <w:tc>
          <w:tcPr>
            <w:tcW w:w="2581" w:type="dxa"/>
          </w:tcPr>
          <w:p w14:paraId="3CD00A05" w14:textId="77777777" w:rsidR="00D80E44" w:rsidRDefault="004530DE" w:rsidP="00236AE7">
            <w:pPr>
              <w:spacing w:after="0" w:line="264" w:lineRule="auto"/>
              <w:ind w:left="0"/>
            </w:pPr>
            <w:r>
              <w:rPr>
                <w:rFonts w:cs="Calibri"/>
                <w:sz w:val="18"/>
              </w:rPr>
              <w:t>Anlassbezogen</w:t>
            </w:r>
          </w:p>
        </w:tc>
        <w:tc>
          <w:tcPr>
            <w:tcW w:w="4535" w:type="dxa"/>
          </w:tcPr>
          <w:p w14:paraId="141D3D9B" w14:textId="77777777" w:rsidR="00D80E44" w:rsidRDefault="004530DE" w:rsidP="00236AE7">
            <w:pPr>
              <w:spacing w:after="0" w:line="264" w:lineRule="auto"/>
              <w:ind w:left="0"/>
            </w:pPr>
            <w:r>
              <w:rPr>
                <w:rFonts w:cs="Calibri"/>
                <w:sz w:val="18"/>
              </w:rPr>
              <w:t>Neue Datenquelle, Agent, externe Aktion, erhebliche Zweckänderung, Sicherheitsvorfall, HR-/Beschäftigtenbezug oder neue Rechtslage.</w:t>
            </w:r>
          </w:p>
        </w:tc>
        <w:tc>
          <w:tcPr>
            <w:tcW w:w="2664" w:type="dxa"/>
          </w:tcPr>
          <w:p w14:paraId="40D12A57" w14:textId="77777777" w:rsidR="00D80E44" w:rsidRDefault="004530DE" w:rsidP="00236AE7">
            <w:pPr>
              <w:spacing w:after="0" w:line="264" w:lineRule="auto"/>
              <w:ind w:left="0"/>
            </w:pPr>
            <w:r>
              <w:rPr>
                <w:rFonts w:cs="Calibri"/>
                <w:sz w:val="18"/>
              </w:rPr>
              <w:t>Erneutes Screening vor Aktivierung bzw. unverzügliche Abhilfeentscheidung.</w:t>
            </w:r>
          </w:p>
        </w:tc>
      </w:tr>
    </w:tbl>
    <w:p w14:paraId="7292CB27" w14:textId="77777777" w:rsidR="00D80E44" w:rsidRDefault="00D80E44">
      <w:pPr>
        <w:spacing w:after="0"/>
      </w:pPr>
    </w:p>
    <w:p w14:paraId="04887A74" w14:textId="12FE8316" w:rsidR="00D80E44" w:rsidRDefault="004530DE" w:rsidP="00D542F3">
      <w:pPr>
        <w:pStyle w:val="berschrift2"/>
      </w:pPr>
      <w:bookmarkStart w:id="43" w:name="_Toc236813409"/>
      <w:r>
        <w:t>Steuerungskennzahlen für die Management-Sicht</w:t>
      </w:r>
      <w:bookmarkEnd w:id="43"/>
    </w:p>
    <w:tbl>
      <w:tblPr>
        <w:tblW w:w="9780" w:type="dxa"/>
        <w:tblInd w:w="120" w:type="dxa"/>
        <w:tblLayout w:type="fixed"/>
        <w:tblLook w:val="04A0" w:firstRow="1" w:lastRow="0" w:firstColumn="1" w:lastColumn="0" w:noHBand="0" w:noVBand="1"/>
      </w:tblPr>
      <w:tblGrid>
        <w:gridCol w:w="2351"/>
        <w:gridCol w:w="4482"/>
        <w:gridCol w:w="2947"/>
      </w:tblGrid>
      <w:tr w:rsidR="00D80E44" w14:paraId="50E6C707" w14:textId="77777777">
        <w:trPr>
          <w:cantSplit/>
          <w:tblHeader/>
        </w:trPr>
        <w:tc>
          <w:tcPr>
            <w:tcW w:w="2351"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02CE5B2F" w14:textId="77777777" w:rsidR="00D80E44" w:rsidRDefault="004530DE" w:rsidP="00236AE7">
            <w:pPr>
              <w:ind w:left="0"/>
            </w:pPr>
            <w:r>
              <w:rPr>
                <w:rFonts w:cs="Calibri"/>
                <w:b/>
                <w:color w:val="333333"/>
                <w:sz w:val="19"/>
              </w:rPr>
              <w:t>Kennzahl</w:t>
            </w:r>
          </w:p>
        </w:tc>
        <w:tc>
          <w:tcPr>
            <w:tcW w:w="4482"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418CBF8A" w14:textId="77777777" w:rsidR="00D80E44" w:rsidRDefault="004530DE" w:rsidP="00236AE7">
            <w:pPr>
              <w:ind w:left="0"/>
            </w:pPr>
            <w:r>
              <w:rPr>
                <w:rFonts w:cs="Calibri"/>
                <w:b/>
                <w:color w:val="333333"/>
                <w:sz w:val="19"/>
              </w:rPr>
              <w:t>Berechnung / Frage</w:t>
            </w:r>
          </w:p>
        </w:tc>
        <w:tc>
          <w:tcPr>
            <w:tcW w:w="2947" w:type="dxa"/>
            <w:tcBorders>
              <w:top w:val="single" w:sz="6" w:space="0" w:color="D9D9D9"/>
              <w:left w:val="single" w:sz="6" w:space="0" w:color="D9D9D9"/>
              <w:bottom w:val="single" w:sz="6" w:space="0" w:color="D9D9D9"/>
              <w:right w:val="single" w:sz="6" w:space="0" w:color="D9D9D9"/>
            </w:tcBorders>
            <w:shd w:val="clear" w:color="auto" w:fill="FFF8E6"/>
            <w:tcMar>
              <w:top w:w="80" w:type="dxa"/>
              <w:left w:w="120" w:type="dxa"/>
              <w:bottom w:w="80" w:type="dxa"/>
              <w:right w:w="120" w:type="dxa"/>
            </w:tcMar>
            <w:vAlign w:val="center"/>
          </w:tcPr>
          <w:p w14:paraId="4F9CE415" w14:textId="77777777" w:rsidR="00D80E44" w:rsidRDefault="004530DE" w:rsidP="00236AE7">
            <w:pPr>
              <w:ind w:left="0"/>
            </w:pPr>
            <w:r>
              <w:rPr>
                <w:rFonts w:cs="Calibri"/>
                <w:b/>
                <w:color w:val="333333"/>
                <w:sz w:val="19"/>
              </w:rPr>
              <w:t>Interpretation</w:t>
            </w:r>
          </w:p>
        </w:tc>
      </w:tr>
      <w:tr w:rsidR="00D80E44" w14:paraId="2A90946A" w14:textId="77777777">
        <w:trPr>
          <w:cantSplit/>
        </w:trPr>
        <w:tc>
          <w:tcPr>
            <w:tcW w:w="2351" w:type="dxa"/>
          </w:tcPr>
          <w:p w14:paraId="406E49BC" w14:textId="77777777" w:rsidR="00D80E44" w:rsidRDefault="004530DE" w:rsidP="00236AE7">
            <w:pPr>
              <w:spacing w:after="0" w:line="264" w:lineRule="auto"/>
              <w:ind w:left="0"/>
            </w:pPr>
            <w:r>
              <w:rPr>
                <w:rFonts w:cs="Calibri"/>
                <w:sz w:val="18"/>
              </w:rPr>
              <w:t>Readiness-Quote</w:t>
            </w:r>
          </w:p>
        </w:tc>
        <w:tc>
          <w:tcPr>
            <w:tcW w:w="4482" w:type="dxa"/>
          </w:tcPr>
          <w:p w14:paraId="620F843E" w14:textId="77777777" w:rsidR="00D80E44" w:rsidRDefault="004530DE" w:rsidP="00236AE7">
            <w:pPr>
              <w:spacing w:after="0" w:line="264" w:lineRule="auto"/>
              <w:ind w:left="0"/>
            </w:pPr>
            <w:r>
              <w:rPr>
                <w:rFonts w:cs="Calibri"/>
                <w:sz w:val="18"/>
              </w:rPr>
              <w:t>Erledigte anwendbare P1-/P2-Kontrollen im Verhältnis zu allen anwendbaren Kontrollen.</w:t>
            </w:r>
          </w:p>
        </w:tc>
        <w:tc>
          <w:tcPr>
            <w:tcW w:w="2947" w:type="dxa"/>
          </w:tcPr>
          <w:p w14:paraId="08511B4A" w14:textId="77777777" w:rsidR="00D80E44" w:rsidRDefault="004530DE" w:rsidP="00236AE7">
            <w:pPr>
              <w:spacing w:after="0" w:line="264" w:lineRule="auto"/>
              <w:ind w:left="0"/>
            </w:pPr>
            <w:r>
              <w:rPr>
                <w:rFonts w:cs="Calibri"/>
                <w:sz w:val="18"/>
              </w:rPr>
              <w:t>Zeigt, ob der Rollout freigabereif ist; P1-Defizite bleiben separat sichtbar.</w:t>
            </w:r>
          </w:p>
        </w:tc>
      </w:tr>
      <w:tr w:rsidR="00D80E44" w14:paraId="521E0074" w14:textId="77777777">
        <w:trPr>
          <w:cantSplit/>
        </w:trPr>
        <w:tc>
          <w:tcPr>
            <w:tcW w:w="2351" w:type="dxa"/>
          </w:tcPr>
          <w:p w14:paraId="079A78A2" w14:textId="77777777" w:rsidR="00D80E44" w:rsidRDefault="004530DE" w:rsidP="00236AE7">
            <w:pPr>
              <w:spacing w:after="0" w:line="264" w:lineRule="auto"/>
              <w:ind w:left="0"/>
            </w:pPr>
            <w:r>
              <w:rPr>
                <w:rFonts w:cs="Calibri"/>
                <w:sz w:val="18"/>
              </w:rPr>
              <w:t>Berechtigungs-Remediation</w:t>
            </w:r>
          </w:p>
        </w:tc>
        <w:tc>
          <w:tcPr>
            <w:tcW w:w="4482" w:type="dxa"/>
          </w:tcPr>
          <w:p w14:paraId="4C129553" w14:textId="77777777" w:rsidR="00D80E44" w:rsidRDefault="004530DE" w:rsidP="00236AE7">
            <w:pPr>
              <w:spacing w:after="0" w:line="264" w:lineRule="auto"/>
              <w:ind w:left="0"/>
            </w:pPr>
            <w:r>
              <w:rPr>
                <w:rFonts w:cs="Calibri"/>
                <w:sz w:val="18"/>
              </w:rPr>
              <w:t>Anzahl kritischer Oversharing-Fundstellen, Owner, Frist und Abschlussrate.</w:t>
            </w:r>
          </w:p>
        </w:tc>
        <w:tc>
          <w:tcPr>
            <w:tcW w:w="2947" w:type="dxa"/>
          </w:tcPr>
          <w:p w14:paraId="7FF76D03" w14:textId="77777777" w:rsidR="00D80E44" w:rsidRDefault="004530DE" w:rsidP="00236AE7">
            <w:pPr>
              <w:spacing w:after="0" w:line="264" w:lineRule="auto"/>
              <w:ind w:left="0"/>
            </w:pPr>
            <w:r>
              <w:rPr>
                <w:rFonts w:cs="Calibri"/>
                <w:sz w:val="18"/>
              </w:rPr>
              <w:t>Bewertet die wichtigste Voraussetzung dafür, dass Copilot Informationen nicht unkontrolliert auffindbar macht.</w:t>
            </w:r>
          </w:p>
        </w:tc>
      </w:tr>
      <w:tr w:rsidR="00D80E44" w14:paraId="64B5E8D4" w14:textId="77777777">
        <w:trPr>
          <w:cantSplit/>
        </w:trPr>
        <w:tc>
          <w:tcPr>
            <w:tcW w:w="2351" w:type="dxa"/>
          </w:tcPr>
          <w:p w14:paraId="64043F6D" w14:textId="77777777" w:rsidR="00D80E44" w:rsidRDefault="004530DE" w:rsidP="00236AE7">
            <w:pPr>
              <w:spacing w:after="0" w:line="264" w:lineRule="auto"/>
              <w:ind w:left="0"/>
            </w:pPr>
            <w:r>
              <w:rPr>
                <w:rFonts w:cs="Calibri"/>
                <w:sz w:val="18"/>
              </w:rPr>
              <w:t>Schulungs- und Guidance-Abdeckung</w:t>
            </w:r>
          </w:p>
        </w:tc>
        <w:tc>
          <w:tcPr>
            <w:tcW w:w="4482" w:type="dxa"/>
          </w:tcPr>
          <w:p w14:paraId="120217E9" w14:textId="77777777" w:rsidR="00D80E44" w:rsidRDefault="004530DE" w:rsidP="00236AE7">
            <w:pPr>
              <w:spacing w:after="0" w:line="264" w:lineRule="auto"/>
              <w:ind w:left="0"/>
            </w:pPr>
            <w:r>
              <w:rPr>
                <w:rFonts w:cs="Calibri"/>
                <w:sz w:val="18"/>
              </w:rPr>
              <w:t>Anteil der aktiven Zielgruppen mit passender Schulung, Leitlinienkenntnisnahme und aktueller Guidance.</w:t>
            </w:r>
          </w:p>
        </w:tc>
        <w:tc>
          <w:tcPr>
            <w:tcW w:w="2947" w:type="dxa"/>
          </w:tcPr>
          <w:p w14:paraId="755BFAEA" w14:textId="77777777" w:rsidR="00D80E44" w:rsidRDefault="004530DE" w:rsidP="00236AE7">
            <w:pPr>
              <w:spacing w:after="0" w:line="264" w:lineRule="auto"/>
              <w:ind w:left="0"/>
            </w:pPr>
            <w:r>
              <w:rPr>
                <w:rFonts w:cs="Calibri"/>
                <w:sz w:val="18"/>
              </w:rPr>
              <w:t>Macht die AI-Literacy-Maßnahmen nach Art. 4 operativ nachweisbar.</w:t>
            </w:r>
          </w:p>
        </w:tc>
      </w:tr>
      <w:tr w:rsidR="00D80E44" w14:paraId="10B540DE" w14:textId="77777777">
        <w:trPr>
          <w:cantSplit/>
        </w:trPr>
        <w:tc>
          <w:tcPr>
            <w:tcW w:w="2351" w:type="dxa"/>
          </w:tcPr>
          <w:p w14:paraId="31B1F6BE" w14:textId="77777777" w:rsidR="00D80E44" w:rsidRDefault="004530DE" w:rsidP="00236AE7">
            <w:pPr>
              <w:spacing w:after="0" w:line="264" w:lineRule="auto"/>
              <w:ind w:left="0"/>
            </w:pPr>
            <w:r>
              <w:rPr>
                <w:rFonts w:cs="Calibri"/>
                <w:sz w:val="18"/>
              </w:rPr>
              <w:t>Use-Case-Qualität</w:t>
            </w:r>
          </w:p>
        </w:tc>
        <w:tc>
          <w:tcPr>
            <w:tcW w:w="4482" w:type="dxa"/>
          </w:tcPr>
          <w:p w14:paraId="135395D1" w14:textId="77777777" w:rsidR="00D80E44" w:rsidRDefault="004530DE" w:rsidP="00236AE7">
            <w:pPr>
              <w:spacing w:after="0" w:line="264" w:lineRule="auto"/>
              <w:ind w:left="0"/>
            </w:pPr>
            <w:r>
              <w:rPr>
                <w:rFonts w:cs="Calibri"/>
                <w:sz w:val="18"/>
              </w:rPr>
              <w:t>Anzahl grüner/gelber/roter Fälle, Freigabedauer, offene Auflagen, Nutzenbeleg und Reviewtreue.</w:t>
            </w:r>
          </w:p>
        </w:tc>
        <w:tc>
          <w:tcPr>
            <w:tcW w:w="2947" w:type="dxa"/>
          </w:tcPr>
          <w:p w14:paraId="08A72EA6" w14:textId="77777777" w:rsidR="00D80E44" w:rsidRDefault="004530DE" w:rsidP="00236AE7">
            <w:pPr>
              <w:spacing w:after="0" w:line="264" w:lineRule="auto"/>
              <w:ind w:left="0"/>
            </w:pPr>
            <w:r>
              <w:rPr>
                <w:rFonts w:cs="Calibri"/>
                <w:sz w:val="18"/>
              </w:rPr>
              <w:t>Verhindert, dass Innovation an Governance vorbei in den Betrieb gelangt.</w:t>
            </w:r>
          </w:p>
        </w:tc>
      </w:tr>
      <w:tr w:rsidR="00D80E44" w14:paraId="7D40E624" w14:textId="77777777">
        <w:trPr>
          <w:cantSplit/>
        </w:trPr>
        <w:tc>
          <w:tcPr>
            <w:tcW w:w="2351" w:type="dxa"/>
          </w:tcPr>
          <w:p w14:paraId="14863EB9" w14:textId="77777777" w:rsidR="00D80E44" w:rsidRDefault="004530DE" w:rsidP="00236AE7">
            <w:pPr>
              <w:spacing w:after="0" w:line="264" w:lineRule="auto"/>
              <w:ind w:left="0"/>
            </w:pPr>
            <w:r>
              <w:rPr>
                <w:rFonts w:cs="Calibri"/>
                <w:sz w:val="18"/>
              </w:rPr>
              <w:t>Vorfälle und Lernschleifen</w:t>
            </w:r>
          </w:p>
        </w:tc>
        <w:tc>
          <w:tcPr>
            <w:tcW w:w="4482" w:type="dxa"/>
          </w:tcPr>
          <w:p w14:paraId="7D20E9EA" w14:textId="77777777" w:rsidR="00D80E44" w:rsidRDefault="004530DE" w:rsidP="00236AE7">
            <w:pPr>
              <w:spacing w:after="0" w:line="264" w:lineRule="auto"/>
              <w:ind w:left="0"/>
            </w:pPr>
            <w:r>
              <w:rPr>
                <w:rFonts w:cs="Calibri"/>
                <w:sz w:val="18"/>
              </w:rPr>
              <w:t>Meldungen, Schweregrad, Zeit bis zur Eindämmung, wiederholte Ursache und umgesetzte Verbesserung.</w:t>
            </w:r>
          </w:p>
        </w:tc>
        <w:tc>
          <w:tcPr>
            <w:tcW w:w="2947" w:type="dxa"/>
          </w:tcPr>
          <w:p w14:paraId="72BAA460" w14:textId="77777777" w:rsidR="00D80E44" w:rsidRDefault="004530DE" w:rsidP="00236AE7">
            <w:pPr>
              <w:spacing w:after="0" w:line="264" w:lineRule="auto"/>
              <w:ind w:left="0"/>
            </w:pPr>
            <w:r>
              <w:rPr>
                <w:rFonts w:cs="Calibri"/>
                <w:sz w:val="18"/>
              </w:rPr>
              <w:t>Misst nicht nur Fehler, sondern die Reaktions- und Lernfähigkeit des Betriebs.</w:t>
            </w:r>
          </w:p>
        </w:tc>
      </w:tr>
    </w:tbl>
    <w:p w14:paraId="3DC9E93E" w14:textId="77777777" w:rsidR="00D80E44" w:rsidRDefault="00D80E44">
      <w:pPr>
        <w:spacing w:after="0"/>
      </w:pPr>
    </w:p>
    <w:p w14:paraId="0605B43D" w14:textId="6BDCE94C" w:rsidR="00D80E44" w:rsidRDefault="004530DE" w:rsidP="00D542F3">
      <w:pPr>
        <w:pStyle w:val="berschrift2"/>
      </w:pPr>
      <w:bookmarkStart w:id="44" w:name="_Toc236813410"/>
      <w:r>
        <w:t>Anhang: Vorlagenfelder für die Nachweisablage</w:t>
      </w:r>
      <w:bookmarkEnd w:id="44"/>
    </w:p>
    <w:p w14:paraId="23E02AEE" w14:textId="77777777" w:rsidR="00D80E44" w:rsidRDefault="004530DE">
      <w:r>
        <w:t>Die folgenden Vorlagenfelder konkretisieren den Mindestbestand aus Abschnitt 12.1 für eine zentrale Nachweisablage oder Projektseite. Sie ergänzen die HTML-Checkliste: Diese erfasst Status, Verantwortlichkeit, Zieldatum, Fundstelle und Arbeitsnotiz sowie strukturierte Evidenzen, Kommentare und eine Reviewentscheidung.</w:t>
      </w:r>
    </w:p>
    <w:p w14:paraId="69DBAAB9" w14:textId="77777777" w:rsidR="00D80E44" w:rsidRDefault="004530DE">
      <w:pPr>
        <w:pStyle w:val="Listenabsatz"/>
        <w:ind w:left="720" w:hanging="360"/>
      </w:pPr>
      <w:r>
        <w:rPr>
          <w:rFonts w:cs="Calibri"/>
        </w:rPr>
        <w:t>KI-System- und Agentenregister mit Systemname, Version, Zweck, Owner, Datenquellen, Schutzbedarf, Freigabe und Reviewdatum.</w:t>
      </w:r>
    </w:p>
    <w:p w14:paraId="2B31793D" w14:textId="77777777" w:rsidR="00D80E44" w:rsidRDefault="004530DE">
      <w:pPr>
        <w:pStyle w:val="Listenabsatz"/>
        <w:ind w:left="720" w:hanging="360"/>
      </w:pPr>
      <w:r>
        <w:rPr>
          <w:rFonts w:cs="Calibri"/>
        </w:rPr>
        <w:t>Use-Case-Canvas mit Ampel, Nutzen, Nutzerkreis, Datenklassen, menschlicher Kontrolle, Risiken, Auflagen, Entscheidung und Review.</w:t>
      </w:r>
    </w:p>
    <w:p w14:paraId="2404E092" w14:textId="77777777" w:rsidR="00D80E44" w:rsidRDefault="004530DE">
      <w:pPr>
        <w:pStyle w:val="Listenabsatz"/>
        <w:ind w:left="720" w:hanging="360"/>
      </w:pPr>
      <w:r>
        <w:rPr>
          <w:rFonts w:cs="Calibri"/>
        </w:rPr>
        <w:t>Datenschutz- und DSFA-Trigger-Screening mit Datenfluss, Rechtsgrundlage, Auftragsverarbeitung, Beschäftigtenbezug und Eskalationsentscheidung.</w:t>
      </w:r>
    </w:p>
    <w:p w14:paraId="6A27F87C" w14:textId="77777777" w:rsidR="00D80E44" w:rsidRDefault="004530DE">
      <w:pPr>
        <w:pStyle w:val="Listenabsatz"/>
        <w:ind w:left="720" w:hanging="360"/>
      </w:pPr>
      <w:r>
        <w:rPr>
          <w:rFonts w:cs="Calibri"/>
        </w:rPr>
        <w:t>Technisches Testprotokoll für Berechtigungen, Sharing, Labels, DLP, Audit, Retention, Agents und Connectoren.</w:t>
      </w:r>
    </w:p>
    <w:p w14:paraId="1A7496C6" w14:textId="77777777" w:rsidR="00D80E44" w:rsidRDefault="004530DE">
      <w:pPr>
        <w:pStyle w:val="Listenabsatz"/>
        <w:ind w:left="720" w:hanging="360"/>
      </w:pPr>
      <w:r>
        <w:rPr>
          <w:rFonts w:cs="Calibri"/>
        </w:rPr>
        <w:t>Schulungsplan inklusive Zielgruppen, Inhalten, Terminen, Teilnahme, Kenntnisnahme, FAQ und Auffrischung.</w:t>
      </w:r>
    </w:p>
    <w:p w14:paraId="05C8E8B9" w14:textId="77777777" w:rsidR="00D80E44" w:rsidRDefault="004530DE">
      <w:pPr>
        <w:pStyle w:val="Listenabsatz"/>
        <w:ind w:left="720" w:hanging="360"/>
      </w:pPr>
      <w:r>
        <w:rPr>
          <w:rFonts w:cs="Calibri"/>
        </w:rPr>
        <w:t>Freigabeformular für öffentliche KI-Inhalte, Deepfakes und Fälle mit besonderem Transparenzbezug.</w:t>
      </w:r>
    </w:p>
    <w:p w14:paraId="0794BCEE" w14:textId="77777777" w:rsidR="00D80E44" w:rsidRDefault="004530DE">
      <w:pPr>
        <w:pStyle w:val="Listenabsatz"/>
        <w:ind w:left="720" w:hanging="360"/>
      </w:pPr>
      <w:r>
        <w:rPr>
          <w:rFonts w:cs="Calibri"/>
        </w:rPr>
        <w:t>Incident-/Abweichungsmeldung sowie Quartals-Review-Protokoll mit Maßnahmen, Ownern und Fälligkeiten.</w:t>
      </w:r>
    </w:p>
    <w:p w14:paraId="7020A105" w14:textId="2FADD6B2" w:rsidR="00D80E44" w:rsidRDefault="004530DE" w:rsidP="00D542F3">
      <w:pPr>
        <w:pStyle w:val="berschrift2"/>
      </w:pPr>
      <w:bookmarkStart w:id="45" w:name="_Toc236813411"/>
      <w:r>
        <w:t>Nachweisbericht aus der HTML-Checkliste</w:t>
      </w:r>
      <w:bookmarkEnd w:id="45"/>
    </w:p>
    <w:p w14:paraId="2ECE1D40" w14:textId="2056E31F" w:rsidR="00D80E44" w:rsidRDefault="004530DE">
      <w:r>
        <w:rPr>
          <w:rFonts w:cs="Calibri"/>
        </w:rPr>
        <w:t>Die Checkliste kann einen eigenständigen HTML-Nachweisbericht sowie eine JSON-Sicherung erzeugen. Der Bericht fasst Profil, Kontrollstatus, offene Qualitätsgates, Evidenzen, Kommentare, Reviewentscheidungen und die je Kontrolle hinterlegten Referenzen zusammen. Er eignet sich als Arbeitsnachweis für Pilot- und Reviewtermine; vertrauliche Inhalte, personenbezogene Daten oder Geheimnisse gehören nicht in Freitextfelder.</w:t>
      </w:r>
      <w:r>
        <w:br/>
        <w:t xml:space="preserve">Öffnen: </w:t>
      </w:r>
      <w:hyperlink r:id="rId14">
        <w:r w:rsidR="00D80E44">
          <w:rPr>
            <w:color w:val="0563C1"/>
            <w:u w:val="single"/>
          </w:rPr>
          <w:t>CloudLights Copilot-Einführungscheckliste</w:t>
        </w:r>
      </w:hyperlink>
    </w:p>
    <w:tbl>
      <w:tblPr>
        <w:tblW w:w="9780" w:type="dxa"/>
        <w:tblInd w:w="120" w:type="dxa"/>
        <w:tblLayout w:type="fixed"/>
        <w:tblLook w:val="04A0" w:firstRow="1" w:lastRow="0" w:firstColumn="1" w:lastColumn="0" w:noHBand="0" w:noVBand="1"/>
      </w:tblPr>
      <w:tblGrid>
        <w:gridCol w:w="9780"/>
      </w:tblGrid>
      <w:tr w:rsidR="00D80E44" w14:paraId="5EE0E89D" w14:textId="77777777">
        <w:tc>
          <w:tcPr>
            <w:tcW w:w="9780" w:type="dxa"/>
            <w:tcBorders>
              <w:top w:val="single" w:sz="10" w:space="0" w:color="F25022"/>
              <w:left w:val="single" w:sz="10" w:space="0" w:color="F25022"/>
              <w:bottom w:val="single" w:sz="10" w:space="0" w:color="F25022"/>
              <w:right w:val="single" w:sz="10" w:space="0" w:color="F25022"/>
            </w:tcBorders>
            <w:shd w:val="clear" w:color="auto" w:fill="FFF8E6"/>
            <w:tcMar>
              <w:top w:w="80" w:type="dxa"/>
              <w:left w:w="120" w:type="dxa"/>
              <w:bottom w:w="80" w:type="dxa"/>
              <w:right w:w="120" w:type="dxa"/>
            </w:tcMar>
            <w:vAlign w:val="center"/>
          </w:tcPr>
          <w:p w14:paraId="3444F166" w14:textId="77777777" w:rsidR="00D80E44" w:rsidRDefault="004530DE">
            <w:pPr>
              <w:spacing w:after="60"/>
            </w:pPr>
            <w:r>
              <w:rPr>
                <w:rFonts w:cs="Calibri"/>
                <w:b/>
                <w:color w:val="333333"/>
                <w:sz w:val="21"/>
              </w:rPr>
              <w:t>Wichtige Ablagegrenze</w:t>
            </w:r>
          </w:p>
          <w:p w14:paraId="53EDA507" w14:textId="77777777" w:rsidR="00D80E44" w:rsidRDefault="004530DE">
            <w:pPr>
              <w:spacing w:after="0"/>
            </w:pPr>
            <w:r>
              <w:rPr>
                <w:rFonts w:cs="Calibri"/>
                <w:sz w:val="21"/>
              </w:rPr>
              <w:t>Die HTML-Checkliste speichert Daten lokal im jeweiligen Browser. Der Export ist keine revisionssichere Archivierung und ersetzt weder eine zentral zugriffsgeschützte Nachweisablage noch ein formales Freigabeprotokoll. Den exportierten Bericht daher in der vorgesehenen SharePoint-/DMS-Ablage mit Owner, Version und Zugriffsrechten ablegen.</w:t>
            </w:r>
          </w:p>
        </w:tc>
      </w:tr>
    </w:tbl>
    <w:p w14:paraId="7548BE87" w14:textId="77777777" w:rsidR="00D80E44" w:rsidRDefault="00D80E44">
      <w:pPr>
        <w:spacing w:after="0"/>
      </w:pPr>
    </w:p>
    <w:p w14:paraId="11170977" w14:textId="77777777" w:rsidR="00D542F3" w:rsidRDefault="00D542F3">
      <w:pPr>
        <w:tabs>
          <w:tab w:val="clear" w:pos="9780"/>
        </w:tabs>
        <w:spacing w:after="200" w:line="276" w:lineRule="auto"/>
        <w:ind w:left="0"/>
        <w:rPr>
          <w:rFonts w:cs="Calibri"/>
          <w:b/>
          <w:color w:val="F25022"/>
          <w:sz w:val="36"/>
          <w:szCs w:val="36"/>
        </w:rPr>
      </w:pPr>
      <w:r>
        <w:rPr>
          <w:rFonts w:cs="Calibri"/>
        </w:rPr>
        <w:br w:type="page"/>
      </w:r>
    </w:p>
    <w:p w14:paraId="02C225AD" w14:textId="2A3D69F8" w:rsidR="00D80E44" w:rsidRDefault="004530DE">
      <w:pPr>
        <w:pStyle w:val="berschrift1"/>
      </w:pPr>
      <w:bookmarkStart w:id="46" w:name="_Toc236813412"/>
      <w:r>
        <w:rPr>
          <w:rFonts w:cs="Calibri"/>
        </w:rPr>
        <w:t>Nachweise, Quellen und interne Freigabe</w:t>
      </w:r>
      <w:bookmarkEnd w:id="46"/>
    </w:p>
    <w:p w14:paraId="6D2C0F39" w14:textId="77777777" w:rsidR="00D80E44" w:rsidRDefault="004530DE">
      <w:r>
        <w:t>Die folgende Liste dokumentiert die wichtigsten Rechts- und Produktquellen zum Stand 5. August 2026. Quellenhierarchie: Verbindlich sind die jeweils geltenden Rechtsakte; Kommissionsleitlinien und FAQs dienen als Auslegungshilfe; Microsoft Learn beschreibt Produktverhalten. Die öffentliche Fassung enthält keine mandantenspezifischen internen Informationen.</w:t>
      </w:r>
    </w:p>
    <w:p w14:paraId="4E50F272" w14:textId="6B9A28B7" w:rsidR="00D80E44" w:rsidRDefault="004530DE">
      <w:pPr>
        <w:pStyle w:val="SmallNote"/>
        <w:spacing w:after="100"/>
        <w:ind w:left="216"/>
      </w:pPr>
      <w:r>
        <w:rPr>
          <w:rFonts w:cs="Calibri"/>
          <w:b/>
        </w:rPr>
        <w:t xml:space="preserve">Rechtsquelle: </w:t>
      </w:r>
      <w:hyperlink r:id="rId15">
        <w:r w:rsidR="00D80E44">
          <w:rPr>
            <w:color w:val="F25022"/>
            <w:u w:val="single"/>
          </w:rPr>
          <w:t>EU AI Act – konsolidierte Fassung (Stand 27. Juli 2026)</w:t>
        </w:r>
      </w:hyperlink>
      <w:r>
        <w:rPr>
          <w:rFonts w:cs="Calibri"/>
          <w:sz w:val="17"/>
        </w:rPr>
        <w:br/>
        <w:t>https://eur-lex.europa.eu/legal-content/EN/TXT/?uri=CELEX%3A02024R1689-20260727</w:t>
      </w:r>
    </w:p>
    <w:p w14:paraId="1271F02F" w14:textId="1B92595B" w:rsidR="00D80E44" w:rsidRDefault="004530DE">
      <w:pPr>
        <w:pStyle w:val="SmallNote"/>
        <w:spacing w:after="100"/>
        <w:ind w:left="216"/>
      </w:pPr>
      <w:r>
        <w:rPr>
          <w:rFonts w:cs="Calibri"/>
          <w:b/>
        </w:rPr>
        <w:t xml:space="preserve">Rechtsquelle: </w:t>
      </w:r>
      <w:hyperlink r:id="rId16">
        <w:r w:rsidR="00D80E44">
          <w:rPr>
            <w:color w:val="F25022"/>
            <w:u w:val="single"/>
          </w:rPr>
          <w:t>EU AI Act – Verordnung (EU) 2024/1689 (Ursprungsfassung)</w:t>
        </w:r>
      </w:hyperlink>
      <w:r>
        <w:rPr>
          <w:rFonts w:cs="Calibri"/>
          <w:sz w:val="17"/>
        </w:rPr>
        <w:br/>
        <w:t>https://eur-lex.europa.eu/eli/reg/2024/1689/oj/eng</w:t>
      </w:r>
    </w:p>
    <w:p w14:paraId="3817FCB6" w14:textId="78A86F2F" w:rsidR="00D80E44" w:rsidRDefault="004530DE">
      <w:pPr>
        <w:pStyle w:val="SmallNote"/>
        <w:spacing w:after="100"/>
        <w:ind w:left="216"/>
      </w:pPr>
      <w:r>
        <w:rPr>
          <w:rFonts w:cs="Calibri"/>
          <w:b/>
        </w:rPr>
        <w:t xml:space="preserve">Rechtsquelle: </w:t>
      </w:r>
      <w:hyperlink r:id="rId17">
        <w:r w:rsidR="00D80E44">
          <w:rPr>
            <w:color w:val="F25022"/>
            <w:u w:val="single"/>
          </w:rPr>
          <w:t>Digital Omnibus on AI – Verordnung (EU) 2026/1744</w:t>
        </w:r>
      </w:hyperlink>
      <w:r>
        <w:rPr>
          <w:rFonts w:cs="Calibri"/>
          <w:sz w:val="17"/>
        </w:rPr>
        <w:br/>
        <w:t>https://eur-lex.europa.eu/eli/reg/2026/1744/oj/eng</w:t>
      </w:r>
    </w:p>
    <w:p w14:paraId="0B46B075" w14:textId="50988DF5" w:rsidR="00D80E44" w:rsidRDefault="004530DE">
      <w:pPr>
        <w:pStyle w:val="SmallNote"/>
        <w:spacing w:after="100"/>
        <w:ind w:left="216"/>
      </w:pPr>
      <w:r>
        <w:rPr>
          <w:rFonts w:cs="Calibri"/>
          <w:b/>
        </w:rPr>
        <w:t xml:space="preserve">Rechtsquelle: </w:t>
      </w:r>
      <w:hyperlink r:id="rId18">
        <w:r w:rsidR="00D80E44">
          <w:rPr>
            <w:color w:val="F25022"/>
            <w:u w:val="single"/>
          </w:rPr>
          <w:t>DSGVO – Verordnung (EU) 2016/679</w:t>
        </w:r>
      </w:hyperlink>
      <w:r>
        <w:rPr>
          <w:rFonts w:cs="Calibri"/>
          <w:sz w:val="17"/>
        </w:rPr>
        <w:br/>
        <w:t>https://eur-lex.europa.eu/eli/reg/2016/679/oj?locale=de</w:t>
      </w:r>
    </w:p>
    <w:p w14:paraId="31EC1FEB" w14:textId="74739DDC" w:rsidR="00D80E44" w:rsidRDefault="004530DE">
      <w:pPr>
        <w:pStyle w:val="SmallNote"/>
        <w:spacing w:after="100"/>
        <w:ind w:left="216"/>
      </w:pPr>
      <w:r>
        <w:rPr>
          <w:rFonts w:cs="Calibri"/>
          <w:b/>
        </w:rPr>
        <w:t xml:space="preserve">Auslegungshilfe: </w:t>
      </w:r>
      <w:hyperlink r:id="rId19">
        <w:r w:rsidR="00D80E44">
          <w:rPr>
            <w:color w:val="F25022"/>
            <w:u w:val="single"/>
          </w:rPr>
          <w:t>Europäische Kommission – FAQ zur KI-Kompetenz</w:t>
        </w:r>
      </w:hyperlink>
      <w:r>
        <w:rPr>
          <w:rFonts w:cs="Calibri"/>
          <w:sz w:val="17"/>
        </w:rPr>
        <w:br/>
        <w:t>https://digital-strategy.ec.europa.eu/en/faqs/ai-literacy-questions-answers</w:t>
      </w:r>
    </w:p>
    <w:p w14:paraId="4A9142AD" w14:textId="38445164" w:rsidR="00D80E44" w:rsidRDefault="004530DE">
      <w:pPr>
        <w:pStyle w:val="SmallNote"/>
        <w:spacing w:after="100"/>
        <w:ind w:left="216"/>
      </w:pPr>
      <w:r>
        <w:rPr>
          <w:rFonts w:cs="Calibri"/>
          <w:b/>
        </w:rPr>
        <w:t xml:space="preserve">Auslegungshilfe: </w:t>
      </w:r>
      <w:hyperlink r:id="rId20">
        <w:r w:rsidR="00D80E44">
          <w:rPr>
            <w:color w:val="F25022"/>
            <w:u w:val="single"/>
          </w:rPr>
          <w:t>Europäische Kommission – Leitlinien zu Transparenzpflichten nach Art. 50</w:t>
        </w:r>
      </w:hyperlink>
      <w:r>
        <w:rPr>
          <w:rFonts w:cs="Calibri"/>
          <w:sz w:val="17"/>
        </w:rPr>
        <w:br/>
        <w:t>https://digital-strategy.ec.europa.eu/en/library/guidelines-transparency-obligations-providers-and-deployers-ai-systems</w:t>
      </w:r>
    </w:p>
    <w:p w14:paraId="41B7CB8D" w14:textId="2410E707" w:rsidR="00D80E44" w:rsidRDefault="004530DE">
      <w:pPr>
        <w:pStyle w:val="SmallNote"/>
        <w:spacing w:after="100"/>
        <w:ind w:left="216"/>
      </w:pPr>
      <w:r>
        <w:rPr>
          <w:rFonts w:cs="Calibri"/>
          <w:b/>
        </w:rPr>
        <w:t xml:space="preserve">Auslegungshilfe: </w:t>
      </w:r>
      <w:hyperlink r:id="rId21">
        <w:r w:rsidR="00D80E44">
          <w:rPr>
            <w:color w:val="F25022"/>
            <w:u w:val="single"/>
          </w:rPr>
          <w:t>Europäische Kommission – FAQ zu Transparenzpflichten nach Art. 50</w:t>
        </w:r>
      </w:hyperlink>
      <w:r>
        <w:rPr>
          <w:rFonts w:cs="Calibri"/>
          <w:sz w:val="17"/>
        </w:rPr>
        <w:br/>
        <w:t>https://digital-strategy.ec.europa.eu/en/faqs/transparency-obligations-under-article-50-ai-act</w:t>
      </w:r>
    </w:p>
    <w:p w14:paraId="4308BEDB" w14:textId="1E42D1A8" w:rsidR="00D80E44" w:rsidRDefault="004530DE">
      <w:pPr>
        <w:pStyle w:val="SmallNote"/>
        <w:spacing w:after="100"/>
        <w:ind w:left="216"/>
      </w:pPr>
      <w:r>
        <w:rPr>
          <w:rFonts w:cs="Calibri"/>
          <w:b/>
        </w:rPr>
        <w:t xml:space="preserve">Auslegungshilfe: </w:t>
      </w:r>
      <w:hyperlink r:id="rId22">
        <w:r w:rsidR="00D80E44">
          <w:rPr>
            <w:color w:val="F25022"/>
            <w:u w:val="single"/>
          </w:rPr>
          <w:t>Europäische Kommission – Leitlinien zu verbotenen KI-Praktiken</w:t>
        </w:r>
      </w:hyperlink>
      <w:r>
        <w:rPr>
          <w:rFonts w:cs="Calibri"/>
          <w:sz w:val="17"/>
        </w:rPr>
        <w:br/>
        <w:t>https://digital-strategy.ec.europa.eu/en/library/commission-publishes-guidelines-prohibited-artificial-intelligence-ai-practices-defined-ai-act</w:t>
      </w:r>
    </w:p>
    <w:p w14:paraId="418EC135" w14:textId="1CA3A8E0" w:rsidR="00D80E44" w:rsidRPr="00D542F3" w:rsidRDefault="004530DE">
      <w:pPr>
        <w:pStyle w:val="SmallNote"/>
        <w:spacing w:after="100"/>
        <w:ind w:left="216"/>
        <w:rPr>
          <w:lang w:val="en-US"/>
        </w:rPr>
      </w:pPr>
      <w:r w:rsidRPr="00D542F3">
        <w:rPr>
          <w:rFonts w:cs="Calibri"/>
          <w:b/>
          <w:lang w:val="en-US"/>
        </w:rPr>
        <w:t xml:space="preserve">Produktdokumentation: </w:t>
      </w:r>
      <w:hyperlink r:id="rId23">
        <w:r w:rsidR="00D80E44" w:rsidRPr="00D542F3">
          <w:rPr>
            <w:color w:val="F25022"/>
            <w:u w:val="single"/>
            <w:lang w:val="en-US"/>
          </w:rPr>
          <w:t>Microsoft Learn – Enterprise Data Protection in Microsoft 365 Copilot</w:t>
        </w:r>
      </w:hyperlink>
      <w:r w:rsidRPr="00D542F3">
        <w:rPr>
          <w:rFonts w:cs="Calibri"/>
          <w:sz w:val="17"/>
          <w:lang w:val="en-US"/>
        </w:rPr>
        <w:br/>
        <w:t>https://learn.microsoft.com/en-us/microsoft-365/copilot/enterprise-data-protection</w:t>
      </w:r>
    </w:p>
    <w:p w14:paraId="1C96EC71" w14:textId="033E9A7B" w:rsidR="00D80E44" w:rsidRPr="00D542F3" w:rsidRDefault="004530DE">
      <w:pPr>
        <w:pStyle w:val="SmallNote"/>
        <w:spacing w:after="100"/>
        <w:ind w:left="216"/>
        <w:rPr>
          <w:lang w:val="en-US"/>
        </w:rPr>
      </w:pPr>
      <w:r w:rsidRPr="00D542F3">
        <w:rPr>
          <w:rFonts w:cs="Calibri"/>
          <w:b/>
          <w:lang w:val="en-US"/>
        </w:rPr>
        <w:t xml:space="preserve">Produktdokumentation: </w:t>
      </w:r>
      <w:hyperlink r:id="rId24">
        <w:r w:rsidR="00D80E44" w:rsidRPr="00D542F3">
          <w:rPr>
            <w:color w:val="F25022"/>
            <w:u w:val="single"/>
            <w:lang w:val="en-US"/>
          </w:rPr>
          <w:t>Microsoft Learn – Data protection architecture and auditing</w:t>
        </w:r>
      </w:hyperlink>
      <w:r w:rsidRPr="00D542F3">
        <w:rPr>
          <w:rFonts w:cs="Calibri"/>
          <w:sz w:val="17"/>
          <w:lang w:val="en-US"/>
        </w:rPr>
        <w:br/>
        <w:t>https://learn.microsoft.com/en-us/microsoft-365/copilot/microsoft-365-copilot-architecture-data-protection-auditing</w:t>
      </w:r>
    </w:p>
    <w:p w14:paraId="64F96AE3" w14:textId="3CCEAB83" w:rsidR="00D80E44" w:rsidRDefault="004530DE">
      <w:pPr>
        <w:pStyle w:val="SmallNote"/>
        <w:spacing w:after="100"/>
        <w:ind w:left="216"/>
      </w:pPr>
      <w:r>
        <w:rPr>
          <w:rFonts w:cs="Calibri"/>
          <w:b/>
        </w:rPr>
        <w:t xml:space="preserve">Produktdokumentation: </w:t>
      </w:r>
      <w:hyperlink r:id="rId25">
        <w:r w:rsidR="00D80E44">
          <w:rPr>
            <w:color w:val="F25022"/>
            <w:u w:val="single"/>
          </w:rPr>
          <w:t>Microsoft Learn – DLP für Microsoft 365 Copilot</w:t>
        </w:r>
      </w:hyperlink>
      <w:r>
        <w:rPr>
          <w:rFonts w:cs="Calibri"/>
          <w:sz w:val="17"/>
        </w:rPr>
        <w:br/>
        <w:t>https://learn.microsoft.com/en-us/purview/dlp-microsoft365-copilot-location-learn-about</w:t>
      </w:r>
    </w:p>
    <w:p w14:paraId="4F867D60" w14:textId="2DBB1623" w:rsidR="00D80E44" w:rsidRDefault="004530DE">
      <w:pPr>
        <w:pStyle w:val="SmallNote"/>
        <w:spacing w:after="100"/>
        <w:ind w:left="216"/>
      </w:pPr>
      <w:r>
        <w:rPr>
          <w:rFonts w:cs="Calibri"/>
          <w:b/>
        </w:rPr>
        <w:t xml:space="preserve">Produktdokumentation: </w:t>
      </w:r>
      <w:hyperlink r:id="rId26">
        <w:r w:rsidR="00D80E44">
          <w:rPr>
            <w:color w:val="F25022"/>
            <w:u w:val="single"/>
          </w:rPr>
          <w:t>Microsoft Learn – Audit für Copilot</w:t>
        </w:r>
      </w:hyperlink>
      <w:r>
        <w:rPr>
          <w:rFonts w:cs="Calibri"/>
          <w:sz w:val="17"/>
        </w:rPr>
        <w:br/>
        <w:t>https://learn.microsoft.com/en-us/purview/audit-copilot</w:t>
      </w:r>
    </w:p>
    <w:p w14:paraId="7584AFD4" w14:textId="0F8FAC78" w:rsidR="00D80E44" w:rsidRDefault="004530DE">
      <w:pPr>
        <w:pStyle w:val="SmallNote"/>
        <w:spacing w:after="100"/>
        <w:ind w:left="216"/>
      </w:pPr>
      <w:r>
        <w:rPr>
          <w:rFonts w:cs="Calibri"/>
          <w:b/>
        </w:rPr>
        <w:t xml:space="preserve">Produktdokumentation: </w:t>
      </w:r>
      <w:hyperlink r:id="rId27">
        <w:r w:rsidR="00D80E44">
          <w:rPr>
            <w:color w:val="F25022"/>
            <w:u w:val="single"/>
          </w:rPr>
          <w:t>Microsoft Learn – Zugriffsberechtigungen für Copilot-Connectoren</w:t>
        </w:r>
      </w:hyperlink>
      <w:r>
        <w:rPr>
          <w:rFonts w:cs="Calibri"/>
          <w:sz w:val="17"/>
        </w:rPr>
        <w:br/>
        <w:t>https://learn.microsoft.com/en-us/microsoft-365/copilot/connectors/manage-access-permissions</w:t>
      </w:r>
    </w:p>
    <w:p w14:paraId="7E5A3DB1" w14:textId="2479FADD" w:rsidR="00D80E44" w:rsidRDefault="004530DE">
      <w:pPr>
        <w:pStyle w:val="SmallNote"/>
        <w:spacing w:after="100"/>
        <w:ind w:left="216"/>
      </w:pPr>
      <w:r>
        <w:rPr>
          <w:rFonts w:cs="Calibri"/>
          <w:b/>
        </w:rPr>
        <w:t xml:space="preserve">Produktdokumentation: </w:t>
      </w:r>
      <w:hyperlink r:id="rId28">
        <w:r w:rsidR="00D80E44">
          <w:rPr>
            <w:color w:val="F25022"/>
            <w:u w:val="single"/>
          </w:rPr>
          <w:t>Microsoft Learn – Agent essentials</w:t>
        </w:r>
      </w:hyperlink>
      <w:r>
        <w:rPr>
          <w:rFonts w:cs="Calibri"/>
          <w:sz w:val="17"/>
        </w:rPr>
        <w:br/>
        <w:t>https://learn.microsoft.com/en-us/microsoft-365/copilot/agent-essentials/agent-essentials-overview</w:t>
      </w:r>
    </w:p>
    <w:p w14:paraId="66FD9BDF" w14:textId="01E3E238" w:rsidR="00D80E44" w:rsidRDefault="004530DE">
      <w:pPr>
        <w:pStyle w:val="SmallNote"/>
        <w:spacing w:after="100"/>
        <w:ind w:left="216"/>
      </w:pPr>
      <w:r>
        <w:rPr>
          <w:rFonts w:cs="Calibri"/>
          <w:b/>
        </w:rPr>
        <w:t xml:space="preserve">Produktdokumentation: </w:t>
      </w:r>
      <w:hyperlink r:id="rId29">
        <w:r w:rsidR="00D80E44">
          <w:rPr>
            <w:color w:val="F25022"/>
            <w:u w:val="single"/>
          </w:rPr>
          <w:t>Microsoft Learn – Entra Agent ID verwalten</w:t>
        </w:r>
      </w:hyperlink>
      <w:r>
        <w:rPr>
          <w:rFonts w:cs="Calibri"/>
          <w:sz w:val="17"/>
        </w:rPr>
        <w:br/>
        <w:t>https://learn.microsoft.com/en-us/entra/agent-id/manage-agent-identities-admin</w:t>
      </w:r>
    </w:p>
    <w:p w14:paraId="2A519B7F" w14:textId="6AFA977A" w:rsidR="00D80E44" w:rsidRPr="00D542F3" w:rsidRDefault="004530DE">
      <w:pPr>
        <w:pStyle w:val="SmallNote"/>
        <w:spacing w:after="100"/>
        <w:ind w:left="216"/>
        <w:rPr>
          <w:lang w:val="en-US"/>
        </w:rPr>
      </w:pPr>
      <w:r w:rsidRPr="00D542F3">
        <w:rPr>
          <w:rFonts w:cs="Calibri"/>
          <w:b/>
          <w:lang w:val="en-US"/>
        </w:rPr>
        <w:t xml:space="preserve">Produktdokumentation: </w:t>
      </w:r>
      <w:hyperlink r:id="rId30">
        <w:r w:rsidR="00D80E44" w:rsidRPr="00D542F3">
          <w:rPr>
            <w:color w:val="F25022"/>
            <w:u w:val="single"/>
            <w:lang w:val="en-US"/>
          </w:rPr>
          <w:t>Microsoft Learn – Secure and govern Microsoft 365 Copilot</w:t>
        </w:r>
      </w:hyperlink>
      <w:r w:rsidRPr="00D542F3">
        <w:rPr>
          <w:rFonts w:cs="Calibri"/>
          <w:sz w:val="17"/>
          <w:lang w:val="en-US"/>
        </w:rPr>
        <w:br/>
        <w:t>https://learn.microsoft.com/en-us/microsoft-365/copilot/secure-govern-copilot-foundational-deployment-guidance</w:t>
      </w:r>
    </w:p>
    <w:p w14:paraId="17C716AE" w14:textId="43837C30" w:rsidR="00D80E44" w:rsidRPr="00D542F3" w:rsidRDefault="004530DE">
      <w:pPr>
        <w:pStyle w:val="SmallNote"/>
        <w:spacing w:after="100"/>
        <w:ind w:left="216"/>
        <w:rPr>
          <w:lang w:val="en-US"/>
        </w:rPr>
      </w:pPr>
      <w:r w:rsidRPr="00D542F3">
        <w:rPr>
          <w:lang w:val="en-US"/>
        </w:rPr>
        <w:t>Auslegungshilfe: Europäische Kommission – Code of Practice on Transparency of AI-generated Content</w:t>
      </w:r>
      <w:r w:rsidRPr="00D542F3">
        <w:rPr>
          <w:lang w:val="en-US"/>
        </w:rPr>
        <w:br/>
      </w:r>
      <w:hyperlink r:id="rId31">
        <w:r w:rsidR="00D80E44" w:rsidRPr="00D542F3">
          <w:rPr>
            <w:color w:val="0563C1"/>
            <w:u w:val="single"/>
            <w:lang w:val="en-US"/>
          </w:rPr>
          <w:t>https://digital-strategy.ec.europa.eu/en/policies/code-practice-ai-generated-content</w:t>
        </w:r>
      </w:hyperlink>
    </w:p>
    <w:p w14:paraId="4BBDC5E3" w14:textId="03E96F0C" w:rsidR="00D80E44" w:rsidRDefault="004530DE">
      <w:pPr>
        <w:pStyle w:val="SmallNote"/>
        <w:spacing w:after="100"/>
        <w:ind w:left="216"/>
      </w:pPr>
      <w:r>
        <w:t>Produktdokumentation: Microsoft Learn – Automatische Entra Agent IDs für Copilot Studio</w:t>
      </w:r>
      <w:r>
        <w:br/>
      </w:r>
      <w:hyperlink r:id="rId32">
        <w:r w:rsidR="00D80E44">
          <w:rPr>
            <w:color w:val="0563C1"/>
            <w:u w:val="single"/>
          </w:rPr>
          <w:t>https://learn.microsoft.com/en-us/microsoft-copilot-studio/admin-use-entra-agent-identities</w:t>
        </w:r>
      </w:hyperlink>
    </w:p>
    <w:p w14:paraId="4A5D638A" w14:textId="4F699A37" w:rsidR="00D80E44" w:rsidRDefault="004530DE">
      <w:pPr>
        <w:pStyle w:val="SmallNote"/>
        <w:spacing w:after="100"/>
        <w:ind w:left="216"/>
      </w:pPr>
      <w:r>
        <w:rPr>
          <w:rFonts w:cs="Calibri"/>
          <w:b/>
        </w:rPr>
        <w:t xml:space="preserve">Unterstützung: </w:t>
      </w:r>
      <w:hyperlink r:id="rId33">
        <w:r w:rsidR="00D80E44">
          <w:rPr>
            <w:color w:val="F25022"/>
            <w:u w:val="single"/>
          </w:rPr>
          <w:t>CloudLights – Kontakt und Terminbuchung</w:t>
        </w:r>
      </w:hyperlink>
      <w:r>
        <w:rPr>
          <w:rFonts w:cs="Calibri"/>
          <w:sz w:val="17"/>
        </w:rPr>
        <w:br/>
        <w:t>https://www.cloudlights.de/kontakt</w:t>
      </w:r>
    </w:p>
    <w:p w14:paraId="7BC0894F" w14:textId="4D7085B5" w:rsidR="00D80E44" w:rsidRDefault="004530DE">
      <w:pPr>
        <w:pStyle w:val="SmallNote"/>
        <w:spacing w:after="100"/>
        <w:ind w:left="216"/>
      </w:pPr>
      <w:r>
        <w:rPr>
          <w:rFonts w:cs="Calibri"/>
          <w:b/>
        </w:rPr>
        <w:t xml:space="preserve">Unterstützung: </w:t>
      </w:r>
      <w:hyperlink r:id="rId34">
        <w:r w:rsidR="00D80E44">
          <w:rPr>
            <w:color w:val="F25022"/>
            <w:u w:val="single"/>
          </w:rPr>
          <w:t>CloudLights – Microsoft 365 Beratung und Weiterbildung</w:t>
        </w:r>
      </w:hyperlink>
      <w:r>
        <w:rPr>
          <w:rFonts w:cs="Calibri"/>
          <w:sz w:val="17"/>
        </w:rPr>
        <w:br/>
        <w:t>https://www.cloudlights.de/Microsoft365</w:t>
      </w:r>
    </w:p>
    <w:p w14:paraId="24609649" w14:textId="77777777" w:rsidR="00D80E44" w:rsidRDefault="004530DE" w:rsidP="00D542F3">
      <w:pPr>
        <w:pStyle w:val="berschrift2"/>
      </w:pPr>
      <w:bookmarkStart w:id="47" w:name="_Toc236813413"/>
      <w:r>
        <w:t>Kurzprotokoll für die interne Freigabe</w:t>
      </w:r>
      <w:bookmarkEnd w:id="47"/>
    </w:p>
    <w:tbl>
      <w:tblPr>
        <w:tblW w:w="9780" w:type="dxa"/>
        <w:tblInd w:w="120" w:type="dxa"/>
        <w:tblLayout w:type="fixed"/>
        <w:tblLook w:val="04A0" w:firstRow="1" w:lastRow="0" w:firstColumn="1" w:lastColumn="0" w:noHBand="0" w:noVBand="1"/>
      </w:tblPr>
      <w:tblGrid>
        <w:gridCol w:w="3135"/>
        <w:gridCol w:w="6645"/>
      </w:tblGrid>
      <w:tr w:rsidR="00D80E44" w14:paraId="61E63FE7" w14:textId="77777777">
        <w:trPr>
          <w:cantSplit/>
          <w:tblHeader/>
        </w:trPr>
        <w:tc>
          <w:tcPr>
            <w:tcW w:w="3135"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2872284A" w14:textId="77777777" w:rsidR="00D80E44" w:rsidRDefault="004530DE" w:rsidP="00236AE7">
            <w:pPr>
              <w:ind w:left="0"/>
            </w:pPr>
            <w:r>
              <w:rPr>
                <w:rFonts w:cs="Calibri"/>
                <w:b/>
                <w:color w:val="333333"/>
                <w:sz w:val="19"/>
              </w:rPr>
              <w:t>Feld</w:t>
            </w:r>
          </w:p>
        </w:tc>
        <w:tc>
          <w:tcPr>
            <w:tcW w:w="6645" w:type="dxa"/>
            <w:tcBorders>
              <w:top w:val="single" w:sz="6" w:space="0" w:color="D9D9D9"/>
              <w:left w:val="single" w:sz="6" w:space="0" w:color="D9D9D9"/>
              <w:bottom w:val="single" w:sz="6" w:space="0" w:color="D9D9D9"/>
              <w:right w:val="single" w:sz="6" w:space="0" w:color="D9D9D9"/>
            </w:tcBorders>
            <w:shd w:val="clear" w:color="auto" w:fill="FFF0E9"/>
            <w:tcMar>
              <w:top w:w="80" w:type="dxa"/>
              <w:left w:w="120" w:type="dxa"/>
              <w:bottom w:w="80" w:type="dxa"/>
              <w:right w:w="120" w:type="dxa"/>
            </w:tcMar>
            <w:vAlign w:val="center"/>
          </w:tcPr>
          <w:p w14:paraId="3E807A72" w14:textId="77777777" w:rsidR="00D80E44" w:rsidRDefault="004530DE" w:rsidP="00236AE7">
            <w:pPr>
              <w:ind w:left="0"/>
            </w:pPr>
            <w:r>
              <w:rPr>
                <w:rFonts w:cs="Calibri"/>
                <w:b/>
                <w:color w:val="333333"/>
                <w:sz w:val="19"/>
              </w:rPr>
              <w:t>Eintrag</w:t>
            </w:r>
          </w:p>
        </w:tc>
      </w:tr>
      <w:tr w:rsidR="00D80E44" w14:paraId="3BDCA638" w14:textId="77777777">
        <w:trPr>
          <w:cantSplit/>
        </w:trPr>
        <w:tc>
          <w:tcPr>
            <w:tcW w:w="3135" w:type="dxa"/>
          </w:tcPr>
          <w:p w14:paraId="592E6E9D" w14:textId="77777777" w:rsidR="00D80E44" w:rsidRDefault="004530DE" w:rsidP="00236AE7">
            <w:pPr>
              <w:spacing w:after="0" w:line="264" w:lineRule="auto"/>
              <w:ind w:left="0"/>
            </w:pPr>
            <w:r>
              <w:rPr>
                <w:rFonts w:cs="Calibri"/>
                <w:sz w:val="18"/>
              </w:rPr>
              <w:t>Organisation / Bereich</w:t>
            </w:r>
          </w:p>
        </w:tc>
        <w:tc>
          <w:tcPr>
            <w:tcW w:w="6645" w:type="dxa"/>
          </w:tcPr>
          <w:p w14:paraId="655653E0" w14:textId="77777777" w:rsidR="00D80E44" w:rsidRDefault="004530DE" w:rsidP="00236AE7">
            <w:pPr>
              <w:spacing w:after="0" w:line="264" w:lineRule="auto"/>
              <w:ind w:left="0"/>
            </w:pPr>
            <w:r>
              <w:rPr>
                <w:rFonts w:cs="Calibri"/>
                <w:sz w:val="18"/>
              </w:rPr>
              <w:t>_______________________________________________</w:t>
            </w:r>
          </w:p>
        </w:tc>
      </w:tr>
      <w:tr w:rsidR="00D80E44" w14:paraId="5BA3B4D0" w14:textId="77777777">
        <w:trPr>
          <w:cantSplit/>
        </w:trPr>
        <w:tc>
          <w:tcPr>
            <w:tcW w:w="3135" w:type="dxa"/>
          </w:tcPr>
          <w:p w14:paraId="1AE19720" w14:textId="77777777" w:rsidR="00D80E44" w:rsidRDefault="004530DE" w:rsidP="00236AE7">
            <w:pPr>
              <w:spacing w:after="0" w:line="264" w:lineRule="auto"/>
              <w:ind w:left="0"/>
            </w:pPr>
            <w:r>
              <w:rPr>
                <w:rFonts w:cs="Calibri"/>
                <w:sz w:val="18"/>
              </w:rPr>
              <w:t>Geprüfte Copilot-Variante und Datenquellen</w:t>
            </w:r>
          </w:p>
        </w:tc>
        <w:tc>
          <w:tcPr>
            <w:tcW w:w="6645" w:type="dxa"/>
          </w:tcPr>
          <w:p w14:paraId="5B6F65DD" w14:textId="77777777" w:rsidR="00D80E44" w:rsidRDefault="004530DE" w:rsidP="00236AE7">
            <w:pPr>
              <w:spacing w:after="0" w:line="264" w:lineRule="auto"/>
              <w:ind w:left="0"/>
            </w:pPr>
            <w:r>
              <w:rPr>
                <w:rFonts w:cs="Calibri"/>
                <w:sz w:val="18"/>
              </w:rPr>
              <w:t>_______________________________________________</w:t>
            </w:r>
          </w:p>
        </w:tc>
      </w:tr>
      <w:tr w:rsidR="00D80E44" w14:paraId="646168DB" w14:textId="77777777">
        <w:trPr>
          <w:cantSplit/>
        </w:trPr>
        <w:tc>
          <w:tcPr>
            <w:tcW w:w="3135" w:type="dxa"/>
          </w:tcPr>
          <w:p w14:paraId="325C6E20" w14:textId="77777777" w:rsidR="00D80E44" w:rsidRDefault="004530DE" w:rsidP="00236AE7">
            <w:pPr>
              <w:spacing w:after="0" w:line="264" w:lineRule="auto"/>
              <w:ind w:left="0"/>
            </w:pPr>
            <w:r>
              <w:rPr>
                <w:rFonts w:cs="Calibri"/>
                <w:sz w:val="18"/>
              </w:rPr>
              <w:t>Pilotumfang / Nutzerkreis</w:t>
            </w:r>
          </w:p>
        </w:tc>
        <w:tc>
          <w:tcPr>
            <w:tcW w:w="6645" w:type="dxa"/>
          </w:tcPr>
          <w:p w14:paraId="1EF97DF2" w14:textId="77777777" w:rsidR="00D80E44" w:rsidRDefault="004530DE" w:rsidP="00236AE7">
            <w:pPr>
              <w:spacing w:after="0" w:line="264" w:lineRule="auto"/>
              <w:ind w:left="0"/>
            </w:pPr>
            <w:r>
              <w:rPr>
                <w:rFonts w:cs="Calibri"/>
                <w:sz w:val="18"/>
              </w:rPr>
              <w:t>_______________________________________________</w:t>
            </w:r>
          </w:p>
        </w:tc>
      </w:tr>
      <w:tr w:rsidR="00D80E44" w14:paraId="767DA476" w14:textId="77777777">
        <w:trPr>
          <w:cantSplit/>
        </w:trPr>
        <w:tc>
          <w:tcPr>
            <w:tcW w:w="3135" w:type="dxa"/>
          </w:tcPr>
          <w:p w14:paraId="08007F64" w14:textId="77777777" w:rsidR="00D80E44" w:rsidRDefault="004530DE" w:rsidP="00236AE7">
            <w:pPr>
              <w:spacing w:after="0" w:line="264" w:lineRule="auto"/>
              <w:ind w:left="0"/>
            </w:pPr>
            <w:r>
              <w:rPr>
                <w:rFonts w:cs="Calibri"/>
                <w:sz w:val="18"/>
              </w:rPr>
              <w:t>Verantwortliche Rollen</w:t>
            </w:r>
          </w:p>
        </w:tc>
        <w:tc>
          <w:tcPr>
            <w:tcW w:w="6645" w:type="dxa"/>
          </w:tcPr>
          <w:p w14:paraId="1623CD0A" w14:textId="77777777" w:rsidR="00D80E44" w:rsidRDefault="004530DE" w:rsidP="00236AE7">
            <w:pPr>
              <w:spacing w:after="0" w:line="264" w:lineRule="auto"/>
              <w:ind w:left="0"/>
            </w:pPr>
            <w:r>
              <w:rPr>
                <w:rFonts w:cs="Calibri"/>
                <w:sz w:val="18"/>
              </w:rPr>
              <w:t>_______________________________________________</w:t>
            </w:r>
          </w:p>
        </w:tc>
      </w:tr>
      <w:tr w:rsidR="00D80E44" w14:paraId="2FC38377" w14:textId="77777777">
        <w:trPr>
          <w:cantSplit/>
        </w:trPr>
        <w:tc>
          <w:tcPr>
            <w:tcW w:w="3135" w:type="dxa"/>
          </w:tcPr>
          <w:p w14:paraId="4D1B4D09" w14:textId="77777777" w:rsidR="00D80E44" w:rsidRDefault="004530DE" w:rsidP="00236AE7">
            <w:pPr>
              <w:spacing w:after="0" w:line="264" w:lineRule="auto"/>
              <w:ind w:left="0"/>
            </w:pPr>
            <w:r>
              <w:rPr>
                <w:rFonts w:cs="Calibri"/>
                <w:sz w:val="18"/>
              </w:rPr>
              <w:t>Offene Risiken und Auflagen</w:t>
            </w:r>
          </w:p>
        </w:tc>
        <w:tc>
          <w:tcPr>
            <w:tcW w:w="6645" w:type="dxa"/>
          </w:tcPr>
          <w:p w14:paraId="2B672A03" w14:textId="77777777" w:rsidR="00D80E44" w:rsidRDefault="004530DE" w:rsidP="00236AE7">
            <w:pPr>
              <w:spacing w:after="0" w:line="264" w:lineRule="auto"/>
              <w:ind w:left="0"/>
            </w:pPr>
            <w:r>
              <w:rPr>
                <w:rFonts w:cs="Calibri"/>
                <w:sz w:val="18"/>
              </w:rPr>
              <w:t>_______________________________________________</w:t>
            </w:r>
          </w:p>
        </w:tc>
      </w:tr>
      <w:tr w:rsidR="00D80E44" w14:paraId="0A37073B" w14:textId="77777777">
        <w:trPr>
          <w:cantSplit/>
        </w:trPr>
        <w:tc>
          <w:tcPr>
            <w:tcW w:w="3135" w:type="dxa"/>
          </w:tcPr>
          <w:p w14:paraId="7A9745EB" w14:textId="77777777" w:rsidR="00D80E44" w:rsidRDefault="004530DE" w:rsidP="00236AE7">
            <w:pPr>
              <w:spacing w:after="0" w:line="264" w:lineRule="auto"/>
              <w:ind w:left="0"/>
            </w:pPr>
            <w:r>
              <w:rPr>
                <w:rFonts w:cs="Calibri"/>
                <w:sz w:val="18"/>
              </w:rPr>
              <w:t>Freigabeentscheidung / Datum</w:t>
            </w:r>
          </w:p>
        </w:tc>
        <w:tc>
          <w:tcPr>
            <w:tcW w:w="6645" w:type="dxa"/>
          </w:tcPr>
          <w:p w14:paraId="18623279" w14:textId="77777777" w:rsidR="00D80E44" w:rsidRDefault="004530DE" w:rsidP="00236AE7">
            <w:pPr>
              <w:spacing w:after="0" w:line="264" w:lineRule="auto"/>
              <w:ind w:left="0"/>
            </w:pPr>
            <w:r>
              <w:rPr>
                <w:rFonts w:cs="Calibri"/>
                <w:sz w:val="18"/>
              </w:rPr>
              <w:t>_______________________________________________</w:t>
            </w:r>
          </w:p>
        </w:tc>
      </w:tr>
    </w:tbl>
    <w:p w14:paraId="7C1D098B" w14:textId="77777777" w:rsidR="00D80E44" w:rsidRDefault="00D80E44">
      <w:pPr>
        <w:spacing w:after="0"/>
      </w:pPr>
    </w:p>
    <w:sectPr w:rsidR="00D80E44">
      <w:headerReference w:type="default" r:id="rId35"/>
      <w:footerReference w:type="default" r:id="rId36"/>
      <w:pgSz w:w="11906" w:h="16838"/>
      <w:pgMar w:top="2381" w:right="1134" w:bottom="1021" w:left="992" w:header="284"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16182" w14:textId="77777777" w:rsidR="0035729E" w:rsidRDefault="0035729E">
      <w:r>
        <w:separator/>
      </w:r>
    </w:p>
    <w:p w14:paraId="1DE6A04E" w14:textId="77777777" w:rsidR="0035729E" w:rsidRDefault="0035729E"/>
    <w:p w14:paraId="33A08F47" w14:textId="77777777" w:rsidR="0035729E" w:rsidRDefault="0035729E"/>
  </w:endnote>
  <w:endnote w:type="continuationSeparator" w:id="0">
    <w:p w14:paraId="3071E476" w14:textId="77777777" w:rsidR="0035729E" w:rsidRDefault="0035729E">
      <w:r>
        <w:continuationSeparator/>
      </w:r>
    </w:p>
    <w:p w14:paraId="1C563DB0" w14:textId="77777777" w:rsidR="0035729E" w:rsidRDefault="0035729E"/>
    <w:p w14:paraId="338952F8" w14:textId="77777777" w:rsidR="0035729E" w:rsidRDefault="0035729E"/>
  </w:endnote>
  <w:endnote w:type="continuationNotice" w:id="1">
    <w:p w14:paraId="6C0FBF30" w14:textId="77777777" w:rsidR="0035729E" w:rsidRDefault="0035729E">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CF930" w14:textId="77777777" w:rsidR="00D80E44" w:rsidRDefault="004530DE">
    <w:pPr>
      <w:pStyle w:val="Fuzeile"/>
      <w:ind w:left="0" w:firstLine="0"/>
      <w:rPr>
        <w:color w:val="666666"/>
      </w:rPr>
    </w:pPr>
    <w:r>
      <w:rPr>
        <w:noProof/>
      </w:rPr>
      <mc:AlternateContent>
        <mc:Choice Requires="wps">
          <w:drawing>
            <wp:anchor distT="0" distB="0" distL="114300" distR="114300" simplePos="0" relativeHeight="251658241" behindDoc="0" locked="0" layoutInCell="1" allowOverlap="1" wp14:anchorId="07378DC4" wp14:editId="79464C0D">
              <wp:simplePos x="0" y="0"/>
              <wp:positionH relativeFrom="margin">
                <wp:posOffset>0</wp:posOffset>
              </wp:positionH>
              <wp:positionV relativeFrom="paragraph">
                <wp:posOffset>100140</wp:posOffset>
              </wp:positionV>
              <wp:extent cx="6315075" cy="0"/>
              <wp:effectExtent l="0" t="0" r="0" b="0"/>
              <wp:wrapNone/>
              <wp:docPr id="5" name="Straight Connector 5"/>
              <wp:cNvGraphicFramePr/>
              <a:graphic xmlns:a="http://schemas.openxmlformats.org/drawingml/2006/main">
                <a:graphicData uri="http://schemas.microsoft.com/office/word/2010/wordprocessingShape">
                  <wps:wsp>
                    <wps:cNvCnPr/>
                    <wps:spPr>
                      <a:xfrm flipV="1">
                        <a:off x="0" y="0"/>
                        <a:ext cx="6315075" cy="0"/>
                      </a:xfrm>
                      <a:prstGeom prst="line">
                        <a:avLst/>
                      </a:prstGeom>
                      <a:ln>
                        <a:solidFill>
                          <a:srgbClr val="666666"/>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rto="http://schemas.microsoft.com/office/word/2006/arto">
          <w:pict>
            <v:line w14:anchorId="1078A6B3" id="Gerader Verbinder 5" o:spid="_x0000_s1026" style="position:absolute;flip:y;z-index:25166336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7.9pt" to="497.25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" strokecolor="#666">
              <w10:wrap anchorx="margin"/>
            </v:line>
          </w:pict>
        </mc:Fallback>
      </mc:AlternateContent>
    </w:r>
  </w:p>
  <w:p w14:paraId="30808F90" w14:textId="77777777" w:rsidR="00D80E44" w:rsidRDefault="004530DE">
    <w:pPr>
      <w:pStyle w:val="Fuzeile"/>
      <w:tabs>
        <w:tab w:val="clear" w:pos="2694"/>
        <w:tab w:val="clear" w:pos="6379"/>
        <w:tab w:val="left" w:pos="2410"/>
        <w:tab w:val="left" w:pos="5103"/>
        <w:tab w:val="left" w:pos="8222"/>
      </w:tabs>
      <w:spacing w:after="0"/>
      <w:ind w:left="142" w:firstLine="0"/>
      <w:rPr>
        <w:color w:val="666666"/>
        <w:sz w:val="18"/>
        <w:szCs w:val="18"/>
      </w:rPr>
    </w:pPr>
    <w:r>
      <w:rPr>
        <w:color w:val="666666"/>
        <w:sz w:val="18"/>
        <w:szCs w:val="18"/>
        <w:lang w:val="en-US"/>
      </w:rPr>
      <w:t>CloudLights GmbH</w:t>
    </w:r>
    <w:r>
      <w:rPr>
        <w:color w:val="666666"/>
        <w:sz w:val="18"/>
        <w:szCs w:val="18"/>
        <w:lang w:val="en-US"/>
      </w:rPr>
      <w:tab/>
      <w:t>Telefon: +49 (2137) 4099556</w:t>
    </w:r>
    <w:r>
      <w:rPr>
        <w:color w:val="666666"/>
        <w:sz w:val="18"/>
        <w:szCs w:val="18"/>
        <w:lang w:val="en-US"/>
      </w:rPr>
      <w:tab/>
      <w:t xml:space="preserve">UST-ID-Nr. </w:t>
    </w:r>
    <w:r>
      <w:rPr>
        <w:color w:val="666666"/>
        <w:sz w:val="18"/>
        <w:szCs w:val="18"/>
      </w:rPr>
      <w:t>DE357079674</w:t>
    </w:r>
    <w:r>
      <w:rPr>
        <w:color w:val="666666"/>
        <w:sz w:val="18"/>
        <w:szCs w:val="18"/>
      </w:rPr>
      <w:tab/>
      <w:t>Geschäftsführer:</w:t>
    </w:r>
    <w:r>
      <w:rPr>
        <w:color w:val="666666"/>
        <w:sz w:val="18"/>
        <w:szCs w:val="18"/>
      </w:rPr>
      <w:br/>
      <w:t>Elisabeth-Kadow-Straße 5</w:t>
    </w:r>
    <w:r>
      <w:rPr>
        <w:color w:val="666666"/>
        <w:sz w:val="18"/>
        <w:szCs w:val="18"/>
      </w:rPr>
      <w:tab/>
      <w:t>E-Mail: info@</w:t>
    </w:r>
    <w:hyperlink r:id="rId1" w:history="1">
      <w:r w:rsidR="00D80E44">
        <w:rPr>
          <w:color w:val="666666"/>
          <w:sz w:val="18"/>
          <w:szCs w:val="18"/>
        </w:rPr>
        <w:t>cloudlights.de</w:t>
      </w:r>
    </w:hyperlink>
    <w:r>
      <w:rPr>
        <w:color w:val="666666"/>
        <w:sz w:val="18"/>
        <w:szCs w:val="18"/>
      </w:rPr>
      <w:tab/>
      <w:t>IBAN: DE66 3055 0000 0093 6505 13</w:t>
    </w:r>
    <w:r>
      <w:rPr>
        <w:color w:val="666666"/>
        <w:sz w:val="18"/>
        <w:szCs w:val="18"/>
      </w:rPr>
      <w:tab/>
      <w:t>Carsten Buchmann</w:t>
    </w:r>
    <w:r>
      <w:rPr>
        <w:color w:val="666666"/>
        <w:sz w:val="18"/>
        <w:szCs w:val="18"/>
      </w:rPr>
      <w:br/>
      <w:t>41470 Neuss</w:t>
    </w:r>
    <w:r>
      <w:rPr>
        <w:color w:val="666666"/>
        <w:sz w:val="18"/>
        <w:szCs w:val="18"/>
      </w:rPr>
      <w:tab/>
      <w:t>Amtsgericht Neuss HRB 22721</w:t>
    </w:r>
    <w:r>
      <w:rPr>
        <w:color w:val="666666"/>
        <w:sz w:val="18"/>
        <w:szCs w:val="18"/>
      </w:rPr>
      <w:tab/>
      <w:t>BIC: WELADEDN</w:t>
    </w:r>
    <w:r>
      <w:rPr>
        <w:color w:val="666666"/>
        <w:sz w:val="18"/>
        <w:szCs w:val="18"/>
      </w:rPr>
      <w:tab/>
      <w:t>Philipp Kohnen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32A2" w14:textId="77777777" w:rsidR="0035729E" w:rsidRDefault="0035729E">
      <w:r>
        <w:separator/>
      </w:r>
    </w:p>
  </w:footnote>
  <w:footnote w:type="continuationSeparator" w:id="0">
    <w:p w14:paraId="6729B12D" w14:textId="77777777" w:rsidR="0035729E" w:rsidRDefault="0035729E">
      <w:r>
        <w:continuationSeparator/>
      </w:r>
    </w:p>
    <w:p w14:paraId="457EFF90" w14:textId="77777777" w:rsidR="0035729E" w:rsidRDefault="0035729E"/>
    <w:p w14:paraId="341F0696" w14:textId="77777777" w:rsidR="0035729E" w:rsidRDefault="0035729E"/>
  </w:footnote>
  <w:footnote w:type="continuationNotice" w:id="1">
    <w:p w14:paraId="04337CEA" w14:textId="77777777" w:rsidR="0035729E" w:rsidRDefault="0035729E">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CC528" w14:textId="77777777" w:rsidR="00D80E44" w:rsidRDefault="004530DE">
    <w:pPr>
      <w:tabs>
        <w:tab w:val="left" w:pos="3555"/>
        <w:tab w:val="right" w:pos="5252"/>
      </w:tabs>
      <w:spacing w:before="540"/>
      <w:ind w:left="0"/>
      <w:rPr>
        <w:color w:val="666666"/>
      </w:rPr>
    </w:pPr>
    <w:r>
      <w:rPr>
        <w:noProof/>
        <w:color w:val="666666"/>
      </w:rPr>
      <w:drawing>
        <wp:anchor distT="0" distB="0" distL="114300" distR="114300" simplePos="0" relativeHeight="251658242" behindDoc="0" locked="0" layoutInCell="1" allowOverlap="1" wp14:anchorId="754DDC0A" wp14:editId="46FF7068">
          <wp:simplePos x="0" y="0"/>
          <wp:positionH relativeFrom="column">
            <wp:posOffset>65405</wp:posOffset>
          </wp:positionH>
          <wp:positionV relativeFrom="paragraph">
            <wp:posOffset>67310</wp:posOffset>
          </wp:positionV>
          <wp:extent cx="2695575" cy="838200"/>
          <wp:effectExtent l="0" t="0" r="0" b="0"/>
          <wp:wrapSquare wrapText="bothSides"/>
          <wp:docPr id="2050467363" name="Picture 2050467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t="12390" b="9734"/>
                  <a:stretch/>
                </pic:blipFill>
                <pic:spPr bwMode="auto">
                  <a:xfrm>
                    <a:off x="0" y="0"/>
                    <a:ext cx="2695575" cy="8382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noProof/>
      </w:rPr>
      <mc:AlternateContent>
        <mc:Choice Requires="wps">
          <w:drawing>
            <wp:anchor distT="0" distB="0" distL="114300" distR="114300" simplePos="0" relativeHeight="251658240" behindDoc="0" locked="0" layoutInCell="1" allowOverlap="1" wp14:anchorId="50881A86" wp14:editId="106E713B">
              <wp:simplePos x="0" y="0"/>
              <wp:positionH relativeFrom="column">
                <wp:posOffset>55245</wp:posOffset>
              </wp:positionH>
              <wp:positionV relativeFrom="paragraph">
                <wp:posOffset>1050480</wp:posOffset>
              </wp:positionV>
              <wp:extent cx="6315075"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6315075" cy="0"/>
                      </a:xfrm>
                      <a:prstGeom prst="line">
                        <a:avLst/>
                      </a:prstGeom>
                      <a:ln>
                        <a:solidFill>
                          <a:srgbClr val="666666"/>
                        </a:solidFill>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arto="http://schemas.microsoft.com/office/word/2006/arto">
          <w:pict>
            <v:line w14:anchorId="0178D966" id="Gerader Verbinder 8" o:spid="_x0000_s1026" style="position:absolute;flip:y;z-index:25166131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35pt,82.7pt" to="501.6pt,8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" strokecolor="#666"/>
          </w:pict>
        </mc:Fallback>
      </mc:AlternateContent>
    </w:r>
    <w:r>
      <w:rPr>
        <w:color w:val="666666"/>
      </w:rPr>
      <w:tab/>
    </w:r>
    <w:r>
      <w:rPr>
        <w:color w:val="666666"/>
      </w:rPr>
      <w:tab/>
      <w:t xml:space="preserve">Seite </w:t>
    </w:r>
    <w:r>
      <w:rPr>
        <w:color w:val="666666"/>
      </w:rPr>
      <w:fldChar w:fldCharType="begin"/>
    </w:r>
    <w:r>
      <w:rPr>
        <w:color w:val="666666"/>
      </w:rPr>
      <w:instrText>PAGE  \* Arabic  \* MERGEFORMAT</w:instrText>
    </w:r>
    <w:r>
      <w:rPr>
        <w:color w:val="666666"/>
      </w:rPr>
      <w:fldChar w:fldCharType="separate"/>
    </w:r>
    <w:r>
      <w:rPr>
        <w:color w:val="666666"/>
      </w:rPr>
      <w:t>2</w:t>
    </w:r>
    <w:r>
      <w:rPr>
        <w:color w:val="666666"/>
      </w:rPr>
      <w:fldChar w:fldCharType="end"/>
    </w:r>
    <w:r>
      <w:rPr>
        <w:color w:val="666666"/>
      </w:rPr>
      <w:t xml:space="preserve"> von </w:t>
    </w:r>
    <w:r>
      <w:rPr>
        <w:color w:val="666666"/>
      </w:rPr>
      <w:fldChar w:fldCharType="begin"/>
    </w:r>
    <w:r>
      <w:rPr>
        <w:color w:val="666666"/>
      </w:rPr>
      <w:instrText>NUMPAGES  \* Arabic  \* MERGEFORMAT</w:instrText>
    </w:r>
    <w:r>
      <w:rPr>
        <w:color w:val="666666"/>
      </w:rPr>
      <w:fldChar w:fldCharType="separate"/>
    </w:r>
    <w:r>
      <w:rPr>
        <w:color w:val="666666"/>
      </w:rPr>
      <w:t>2</w:t>
    </w:r>
    <w:r>
      <w:rPr>
        <w:color w:val="66666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D7F79"/>
    <w:multiLevelType w:val="hybridMultilevel"/>
    <w:tmpl w:val="1BAE3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180603A"/>
    <w:multiLevelType w:val="hybridMultilevel"/>
    <w:tmpl w:val="59D2325E"/>
    <w:lvl w:ilvl="0" w:tplc="04070005">
      <w:start w:val="1"/>
      <w:numFmt w:val="bullet"/>
      <w:pStyle w:val="Listenabsatz"/>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A1B1167"/>
    <w:multiLevelType w:val="hybridMultilevel"/>
    <w:tmpl w:val="6818CADA"/>
    <w:lvl w:ilvl="0" w:tplc="6642799A">
      <w:start w:val="1"/>
      <w:numFmt w:val="lowerLetter"/>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3" w15:restartNumberingAfterBreak="0">
    <w:nsid w:val="32593D7A"/>
    <w:multiLevelType w:val="hybridMultilevel"/>
    <w:tmpl w:val="D5CED55C"/>
    <w:lvl w:ilvl="0" w:tplc="0407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 w15:restartNumberingAfterBreak="0">
    <w:nsid w:val="356E6CA0"/>
    <w:multiLevelType w:val="hybridMultilevel"/>
    <w:tmpl w:val="F1447AD8"/>
    <w:lvl w:ilvl="0" w:tplc="04070005">
      <w:start w:val="1"/>
      <w:numFmt w:val="bullet"/>
      <w:lvlText w:val=""/>
      <w:lvlJc w:val="left"/>
      <w:pPr>
        <w:ind w:left="1287" w:hanging="360"/>
      </w:pPr>
      <w:rPr>
        <w:rFonts w:ascii="Wingdings" w:hAnsi="Wingdings"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5" w15:restartNumberingAfterBreak="0">
    <w:nsid w:val="421F5197"/>
    <w:multiLevelType w:val="multilevel"/>
    <w:tmpl w:val="C5DAEA60"/>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53248F4"/>
    <w:multiLevelType w:val="hybridMultilevel"/>
    <w:tmpl w:val="F4C6D3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7676B65"/>
    <w:multiLevelType w:val="hybridMultilevel"/>
    <w:tmpl w:val="AB94D23A"/>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8" w15:restartNumberingAfterBreak="0">
    <w:nsid w:val="498E1FA0"/>
    <w:multiLevelType w:val="hybridMultilevel"/>
    <w:tmpl w:val="E30CDBC4"/>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9" w15:restartNumberingAfterBreak="0">
    <w:nsid w:val="550576EB"/>
    <w:multiLevelType w:val="hybridMultilevel"/>
    <w:tmpl w:val="CF209572"/>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abstractNum w:abstractNumId="10" w15:restartNumberingAfterBreak="0">
    <w:nsid w:val="5EF952C1"/>
    <w:multiLevelType w:val="hybridMultilevel"/>
    <w:tmpl w:val="A9C09A36"/>
    <w:lvl w:ilvl="0" w:tplc="0407000F">
      <w:start w:val="1"/>
      <w:numFmt w:val="decimal"/>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1" w15:restartNumberingAfterBreak="0">
    <w:nsid w:val="74CB6C79"/>
    <w:multiLevelType w:val="hybridMultilevel"/>
    <w:tmpl w:val="3D0A1982"/>
    <w:lvl w:ilvl="0" w:tplc="04070005">
      <w:start w:val="1"/>
      <w:numFmt w:val="bullet"/>
      <w:lvlText w:val=""/>
      <w:lvlJc w:val="left"/>
      <w:pPr>
        <w:ind w:left="1440" w:hanging="360"/>
      </w:pPr>
      <w:rPr>
        <w:rFonts w:ascii="Wingdings" w:hAnsi="Wingdings" w:hint="default"/>
      </w:rPr>
    </w:lvl>
    <w:lvl w:ilvl="1" w:tplc="04070003">
      <w:start w:val="1"/>
      <w:numFmt w:val="bullet"/>
      <w:lvlText w:val="o"/>
      <w:lvlJc w:val="left"/>
      <w:pPr>
        <w:ind w:left="2160" w:hanging="360"/>
      </w:pPr>
      <w:rPr>
        <w:rFonts w:ascii="Courier New" w:hAnsi="Courier New" w:cs="Courier New" w:hint="default"/>
      </w:rPr>
    </w:lvl>
    <w:lvl w:ilvl="2" w:tplc="04070005">
      <w:start w:val="1"/>
      <w:numFmt w:val="bullet"/>
      <w:lvlText w:val=""/>
      <w:lvlJc w:val="left"/>
      <w:pPr>
        <w:ind w:left="2880" w:hanging="360"/>
      </w:pPr>
      <w:rPr>
        <w:rFonts w:ascii="Wingdings" w:hAnsi="Wingdings" w:hint="default"/>
      </w:rPr>
    </w:lvl>
    <w:lvl w:ilvl="3" w:tplc="04070001">
      <w:start w:val="1"/>
      <w:numFmt w:val="bullet"/>
      <w:lvlText w:val=""/>
      <w:lvlJc w:val="left"/>
      <w:pPr>
        <w:ind w:left="3600" w:hanging="360"/>
      </w:pPr>
      <w:rPr>
        <w:rFonts w:ascii="Symbol" w:hAnsi="Symbol" w:hint="default"/>
      </w:rPr>
    </w:lvl>
    <w:lvl w:ilvl="4" w:tplc="04070003">
      <w:start w:val="1"/>
      <w:numFmt w:val="bullet"/>
      <w:lvlText w:val="o"/>
      <w:lvlJc w:val="left"/>
      <w:pPr>
        <w:ind w:left="4320" w:hanging="360"/>
      </w:pPr>
      <w:rPr>
        <w:rFonts w:ascii="Courier New" w:hAnsi="Courier New" w:cs="Courier New" w:hint="default"/>
      </w:rPr>
    </w:lvl>
    <w:lvl w:ilvl="5" w:tplc="04070005">
      <w:start w:val="1"/>
      <w:numFmt w:val="bullet"/>
      <w:lvlText w:val=""/>
      <w:lvlJc w:val="left"/>
      <w:pPr>
        <w:ind w:left="5040" w:hanging="360"/>
      </w:pPr>
      <w:rPr>
        <w:rFonts w:ascii="Wingdings" w:hAnsi="Wingdings" w:hint="default"/>
      </w:rPr>
    </w:lvl>
    <w:lvl w:ilvl="6" w:tplc="04070001">
      <w:start w:val="1"/>
      <w:numFmt w:val="bullet"/>
      <w:lvlText w:val=""/>
      <w:lvlJc w:val="left"/>
      <w:pPr>
        <w:ind w:left="5760" w:hanging="360"/>
      </w:pPr>
      <w:rPr>
        <w:rFonts w:ascii="Symbol" w:hAnsi="Symbol" w:hint="default"/>
      </w:rPr>
    </w:lvl>
    <w:lvl w:ilvl="7" w:tplc="04070003">
      <w:start w:val="1"/>
      <w:numFmt w:val="bullet"/>
      <w:lvlText w:val="o"/>
      <w:lvlJc w:val="left"/>
      <w:pPr>
        <w:ind w:left="6480" w:hanging="360"/>
      </w:pPr>
      <w:rPr>
        <w:rFonts w:ascii="Courier New" w:hAnsi="Courier New" w:cs="Courier New" w:hint="default"/>
      </w:rPr>
    </w:lvl>
    <w:lvl w:ilvl="8" w:tplc="04070005">
      <w:start w:val="1"/>
      <w:numFmt w:val="bullet"/>
      <w:lvlText w:val=""/>
      <w:lvlJc w:val="left"/>
      <w:pPr>
        <w:ind w:left="7200" w:hanging="360"/>
      </w:pPr>
      <w:rPr>
        <w:rFonts w:ascii="Wingdings" w:hAnsi="Wingdings" w:hint="default"/>
      </w:rPr>
    </w:lvl>
  </w:abstractNum>
  <w:abstractNum w:abstractNumId="12" w15:restartNumberingAfterBreak="0">
    <w:nsid w:val="75FE7308"/>
    <w:multiLevelType w:val="hybridMultilevel"/>
    <w:tmpl w:val="7BFCDA96"/>
    <w:lvl w:ilvl="0" w:tplc="04070001">
      <w:start w:val="1"/>
      <w:numFmt w:val="bullet"/>
      <w:lvlText w:val=""/>
      <w:lvlJc w:val="left"/>
      <w:pPr>
        <w:ind w:left="1287" w:hanging="360"/>
      </w:pPr>
      <w:rPr>
        <w:rFonts w:ascii="Symbol" w:hAnsi="Symbol" w:hint="default"/>
      </w:rPr>
    </w:lvl>
    <w:lvl w:ilvl="1" w:tplc="04070003" w:tentative="1">
      <w:start w:val="1"/>
      <w:numFmt w:val="bullet"/>
      <w:lvlText w:val="o"/>
      <w:lvlJc w:val="left"/>
      <w:pPr>
        <w:ind w:left="2007" w:hanging="360"/>
      </w:pPr>
      <w:rPr>
        <w:rFonts w:ascii="Courier New" w:hAnsi="Courier New" w:cs="Courier New" w:hint="default"/>
      </w:rPr>
    </w:lvl>
    <w:lvl w:ilvl="2" w:tplc="04070005" w:tentative="1">
      <w:start w:val="1"/>
      <w:numFmt w:val="bullet"/>
      <w:lvlText w:val=""/>
      <w:lvlJc w:val="left"/>
      <w:pPr>
        <w:ind w:left="2727" w:hanging="360"/>
      </w:pPr>
      <w:rPr>
        <w:rFonts w:ascii="Wingdings" w:hAnsi="Wingdings" w:hint="default"/>
      </w:rPr>
    </w:lvl>
    <w:lvl w:ilvl="3" w:tplc="04070001" w:tentative="1">
      <w:start w:val="1"/>
      <w:numFmt w:val="bullet"/>
      <w:lvlText w:val=""/>
      <w:lvlJc w:val="left"/>
      <w:pPr>
        <w:ind w:left="3447" w:hanging="360"/>
      </w:pPr>
      <w:rPr>
        <w:rFonts w:ascii="Symbol" w:hAnsi="Symbol" w:hint="default"/>
      </w:rPr>
    </w:lvl>
    <w:lvl w:ilvl="4" w:tplc="04070003" w:tentative="1">
      <w:start w:val="1"/>
      <w:numFmt w:val="bullet"/>
      <w:lvlText w:val="o"/>
      <w:lvlJc w:val="left"/>
      <w:pPr>
        <w:ind w:left="4167" w:hanging="360"/>
      </w:pPr>
      <w:rPr>
        <w:rFonts w:ascii="Courier New" w:hAnsi="Courier New" w:cs="Courier New" w:hint="default"/>
      </w:rPr>
    </w:lvl>
    <w:lvl w:ilvl="5" w:tplc="04070005" w:tentative="1">
      <w:start w:val="1"/>
      <w:numFmt w:val="bullet"/>
      <w:lvlText w:val=""/>
      <w:lvlJc w:val="left"/>
      <w:pPr>
        <w:ind w:left="4887" w:hanging="360"/>
      </w:pPr>
      <w:rPr>
        <w:rFonts w:ascii="Wingdings" w:hAnsi="Wingdings" w:hint="default"/>
      </w:rPr>
    </w:lvl>
    <w:lvl w:ilvl="6" w:tplc="04070001" w:tentative="1">
      <w:start w:val="1"/>
      <w:numFmt w:val="bullet"/>
      <w:lvlText w:val=""/>
      <w:lvlJc w:val="left"/>
      <w:pPr>
        <w:ind w:left="5607" w:hanging="360"/>
      </w:pPr>
      <w:rPr>
        <w:rFonts w:ascii="Symbol" w:hAnsi="Symbol" w:hint="default"/>
      </w:rPr>
    </w:lvl>
    <w:lvl w:ilvl="7" w:tplc="04070003" w:tentative="1">
      <w:start w:val="1"/>
      <w:numFmt w:val="bullet"/>
      <w:lvlText w:val="o"/>
      <w:lvlJc w:val="left"/>
      <w:pPr>
        <w:ind w:left="6327" w:hanging="360"/>
      </w:pPr>
      <w:rPr>
        <w:rFonts w:ascii="Courier New" w:hAnsi="Courier New" w:cs="Courier New" w:hint="default"/>
      </w:rPr>
    </w:lvl>
    <w:lvl w:ilvl="8" w:tplc="04070005" w:tentative="1">
      <w:start w:val="1"/>
      <w:numFmt w:val="bullet"/>
      <w:lvlText w:val=""/>
      <w:lvlJc w:val="left"/>
      <w:pPr>
        <w:ind w:left="7047" w:hanging="360"/>
      </w:pPr>
      <w:rPr>
        <w:rFonts w:ascii="Wingdings" w:hAnsi="Wingdings" w:hint="default"/>
      </w:rPr>
    </w:lvl>
  </w:abstractNum>
  <w:num w:numId="1" w16cid:durableId="87508512">
    <w:abstractNumId w:val="1"/>
  </w:num>
  <w:num w:numId="2" w16cid:durableId="29572117">
    <w:abstractNumId w:val="5"/>
  </w:num>
  <w:num w:numId="3" w16cid:durableId="1733962056">
    <w:abstractNumId w:val="11"/>
  </w:num>
  <w:num w:numId="4" w16cid:durableId="808286620">
    <w:abstractNumId w:val="4"/>
  </w:num>
  <w:num w:numId="5" w16cid:durableId="481047631">
    <w:abstractNumId w:val="1"/>
  </w:num>
  <w:num w:numId="6" w16cid:durableId="845940404">
    <w:abstractNumId w:val="7"/>
  </w:num>
  <w:num w:numId="7" w16cid:durableId="1967084171">
    <w:abstractNumId w:val="10"/>
  </w:num>
  <w:num w:numId="8" w16cid:durableId="977303078">
    <w:abstractNumId w:val="9"/>
  </w:num>
  <w:num w:numId="9" w16cid:durableId="200484912">
    <w:abstractNumId w:val="12"/>
  </w:num>
  <w:num w:numId="10" w16cid:durableId="818770677">
    <w:abstractNumId w:val="3"/>
  </w:num>
  <w:num w:numId="11" w16cid:durableId="1053308709">
    <w:abstractNumId w:val="8"/>
  </w:num>
  <w:num w:numId="12" w16cid:durableId="975062998">
    <w:abstractNumId w:val="2"/>
  </w:num>
  <w:num w:numId="13" w16cid:durableId="1949269822">
    <w:abstractNumId w:val="6"/>
  </w:num>
  <w:num w:numId="14" w16cid:durableId="1876573137">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drawingGridHorizontalSpacing w:val="181"/>
  <w:drawingGridVerticalSpacing w:val="18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C78"/>
    <w:rsid w:val="000004C8"/>
    <w:rsid w:val="00000AE0"/>
    <w:rsid w:val="0000112C"/>
    <w:rsid w:val="00001BF4"/>
    <w:rsid w:val="0000309C"/>
    <w:rsid w:val="000037AD"/>
    <w:rsid w:val="00003F8F"/>
    <w:rsid w:val="000041D4"/>
    <w:rsid w:val="0000442E"/>
    <w:rsid w:val="00004E7F"/>
    <w:rsid w:val="000057B7"/>
    <w:rsid w:val="00005A32"/>
    <w:rsid w:val="00007E94"/>
    <w:rsid w:val="000109D6"/>
    <w:rsid w:val="00012D83"/>
    <w:rsid w:val="00012F74"/>
    <w:rsid w:val="000137CB"/>
    <w:rsid w:val="00013997"/>
    <w:rsid w:val="0001461D"/>
    <w:rsid w:val="00015ADC"/>
    <w:rsid w:val="000218C4"/>
    <w:rsid w:val="000225A1"/>
    <w:rsid w:val="00022D34"/>
    <w:rsid w:val="0002305C"/>
    <w:rsid w:val="00024014"/>
    <w:rsid w:val="000241DC"/>
    <w:rsid w:val="00025CFD"/>
    <w:rsid w:val="00025FBF"/>
    <w:rsid w:val="000260FE"/>
    <w:rsid w:val="00026B1B"/>
    <w:rsid w:val="00026E30"/>
    <w:rsid w:val="000270E0"/>
    <w:rsid w:val="0002771A"/>
    <w:rsid w:val="0002796F"/>
    <w:rsid w:val="00030EEC"/>
    <w:rsid w:val="0003205D"/>
    <w:rsid w:val="00032547"/>
    <w:rsid w:val="0003267B"/>
    <w:rsid w:val="000329D3"/>
    <w:rsid w:val="00032CFE"/>
    <w:rsid w:val="00034698"/>
    <w:rsid w:val="00034B26"/>
    <w:rsid w:val="00034C44"/>
    <w:rsid w:val="00035D44"/>
    <w:rsid w:val="0003654A"/>
    <w:rsid w:val="00037BC2"/>
    <w:rsid w:val="00040982"/>
    <w:rsid w:val="00040A17"/>
    <w:rsid w:val="00040E58"/>
    <w:rsid w:val="00043547"/>
    <w:rsid w:val="00043B85"/>
    <w:rsid w:val="00043DA9"/>
    <w:rsid w:val="000446E4"/>
    <w:rsid w:val="00046E0E"/>
    <w:rsid w:val="00047E06"/>
    <w:rsid w:val="00047F34"/>
    <w:rsid w:val="00050425"/>
    <w:rsid w:val="0005352A"/>
    <w:rsid w:val="00054023"/>
    <w:rsid w:val="00054629"/>
    <w:rsid w:val="00054F12"/>
    <w:rsid w:val="00060123"/>
    <w:rsid w:val="00061A6C"/>
    <w:rsid w:val="00062033"/>
    <w:rsid w:val="00063004"/>
    <w:rsid w:val="000641B8"/>
    <w:rsid w:val="000658F5"/>
    <w:rsid w:val="00065D1D"/>
    <w:rsid w:val="00065D4D"/>
    <w:rsid w:val="00065F13"/>
    <w:rsid w:val="00067BD5"/>
    <w:rsid w:val="00070B06"/>
    <w:rsid w:val="00070DF7"/>
    <w:rsid w:val="00071277"/>
    <w:rsid w:val="00071F68"/>
    <w:rsid w:val="0007237B"/>
    <w:rsid w:val="00072FAD"/>
    <w:rsid w:val="000731B6"/>
    <w:rsid w:val="000745FC"/>
    <w:rsid w:val="00074D7A"/>
    <w:rsid w:val="000767C8"/>
    <w:rsid w:val="0007687D"/>
    <w:rsid w:val="00077B80"/>
    <w:rsid w:val="000839AB"/>
    <w:rsid w:val="00083DAA"/>
    <w:rsid w:val="00084B65"/>
    <w:rsid w:val="00085B88"/>
    <w:rsid w:val="00085C92"/>
    <w:rsid w:val="00085E37"/>
    <w:rsid w:val="00086ACD"/>
    <w:rsid w:val="00086E84"/>
    <w:rsid w:val="00087AB5"/>
    <w:rsid w:val="00087B22"/>
    <w:rsid w:val="000919C3"/>
    <w:rsid w:val="000923C2"/>
    <w:rsid w:val="00093AD3"/>
    <w:rsid w:val="0009565E"/>
    <w:rsid w:val="00096EF2"/>
    <w:rsid w:val="000A06EB"/>
    <w:rsid w:val="000A2F29"/>
    <w:rsid w:val="000A3550"/>
    <w:rsid w:val="000A4E02"/>
    <w:rsid w:val="000A4F8A"/>
    <w:rsid w:val="000A60AE"/>
    <w:rsid w:val="000A7013"/>
    <w:rsid w:val="000A7972"/>
    <w:rsid w:val="000B084A"/>
    <w:rsid w:val="000B203A"/>
    <w:rsid w:val="000B367B"/>
    <w:rsid w:val="000B5749"/>
    <w:rsid w:val="000B7C1C"/>
    <w:rsid w:val="000C228D"/>
    <w:rsid w:val="000C3080"/>
    <w:rsid w:val="000C3768"/>
    <w:rsid w:val="000C4CF8"/>
    <w:rsid w:val="000C5140"/>
    <w:rsid w:val="000C5D35"/>
    <w:rsid w:val="000C7B7A"/>
    <w:rsid w:val="000D1FCA"/>
    <w:rsid w:val="000D3382"/>
    <w:rsid w:val="000D3677"/>
    <w:rsid w:val="000D3B47"/>
    <w:rsid w:val="000D4314"/>
    <w:rsid w:val="000D4437"/>
    <w:rsid w:val="000D481F"/>
    <w:rsid w:val="000D5DF6"/>
    <w:rsid w:val="000D61AB"/>
    <w:rsid w:val="000D7323"/>
    <w:rsid w:val="000E016F"/>
    <w:rsid w:val="000E1409"/>
    <w:rsid w:val="000E2430"/>
    <w:rsid w:val="000E2F43"/>
    <w:rsid w:val="000E331B"/>
    <w:rsid w:val="000E3EF4"/>
    <w:rsid w:val="000E5019"/>
    <w:rsid w:val="000E7599"/>
    <w:rsid w:val="000F2490"/>
    <w:rsid w:val="000F2CE7"/>
    <w:rsid w:val="000F2DE7"/>
    <w:rsid w:val="000F30FF"/>
    <w:rsid w:val="000F51DB"/>
    <w:rsid w:val="000F74EB"/>
    <w:rsid w:val="001001EF"/>
    <w:rsid w:val="00101935"/>
    <w:rsid w:val="0010281E"/>
    <w:rsid w:val="00103A9C"/>
    <w:rsid w:val="0010444C"/>
    <w:rsid w:val="001061F8"/>
    <w:rsid w:val="0010631B"/>
    <w:rsid w:val="00106749"/>
    <w:rsid w:val="0011164B"/>
    <w:rsid w:val="00111A5F"/>
    <w:rsid w:val="00111D46"/>
    <w:rsid w:val="00111F8B"/>
    <w:rsid w:val="00112D95"/>
    <w:rsid w:val="001135EC"/>
    <w:rsid w:val="00113B08"/>
    <w:rsid w:val="001149E5"/>
    <w:rsid w:val="00116977"/>
    <w:rsid w:val="00120FBC"/>
    <w:rsid w:val="0012170F"/>
    <w:rsid w:val="001221AF"/>
    <w:rsid w:val="00123111"/>
    <w:rsid w:val="00123DEE"/>
    <w:rsid w:val="001254B8"/>
    <w:rsid w:val="001254F2"/>
    <w:rsid w:val="001262BF"/>
    <w:rsid w:val="0013142C"/>
    <w:rsid w:val="001314E3"/>
    <w:rsid w:val="00131C73"/>
    <w:rsid w:val="001338F0"/>
    <w:rsid w:val="00133D59"/>
    <w:rsid w:val="00133E02"/>
    <w:rsid w:val="00133E96"/>
    <w:rsid w:val="0013658D"/>
    <w:rsid w:val="00136EF8"/>
    <w:rsid w:val="00137665"/>
    <w:rsid w:val="00140DC4"/>
    <w:rsid w:val="00141C25"/>
    <w:rsid w:val="00143B07"/>
    <w:rsid w:val="00144E23"/>
    <w:rsid w:val="001452F9"/>
    <w:rsid w:val="00147C12"/>
    <w:rsid w:val="001503F9"/>
    <w:rsid w:val="001513A2"/>
    <w:rsid w:val="00151993"/>
    <w:rsid w:val="001524B6"/>
    <w:rsid w:val="00154578"/>
    <w:rsid w:val="001546DC"/>
    <w:rsid w:val="00155E58"/>
    <w:rsid w:val="00156F8B"/>
    <w:rsid w:val="00157B36"/>
    <w:rsid w:val="00160385"/>
    <w:rsid w:val="0016179E"/>
    <w:rsid w:val="001621C7"/>
    <w:rsid w:val="0016299D"/>
    <w:rsid w:val="0016408B"/>
    <w:rsid w:val="0016448F"/>
    <w:rsid w:val="0016449C"/>
    <w:rsid w:val="00167269"/>
    <w:rsid w:val="00167310"/>
    <w:rsid w:val="001678C5"/>
    <w:rsid w:val="00170B66"/>
    <w:rsid w:val="001729B9"/>
    <w:rsid w:val="00172BB4"/>
    <w:rsid w:val="00172D7C"/>
    <w:rsid w:val="001740A8"/>
    <w:rsid w:val="0017477C"/>
    <w:rsid w:val="00174AF9"/>
    <w:rsid w:val="00174E72"/>
    <w:rsid w:val="00176411"/>
    <w:rsid w:val="001772D4"/>
    <w:rsid w:val="00180F26"/>
    <w:rsid w:val="00183825"/>
    <w:rsid w:val="00186FFE"/>
    <w:rsid w:val="00192184"/>
    <w:rsid w:val="00193082"/>
    <w:rsid w:val="001939F4"/>
    <w:rsid w:val="001966CC"/>
    <w:rsid w:val="00196CAC"/>
    <w:rsid w:val="00197DFD"/>
    <w:rsid w:val="001A2580"/>
    <w:rsid w:val="001A2819"/>
    <w:rsid w:val="001A2FF5"/>
    <w:rsid w:val="001A3574"/>
    <w:rsid w:val="001A385B"/>
    <w:rsid w:val="001A5B6F"/>
    <w:rsid w:val="001A5E5F"/>
    <w:rsid w:val="001A7124"/>
    <w:rsid w:val="001B2626"/>
    <w:rsid w:val="001B29FF"/>
    <w:rsid w:val="001B2EB0"/>
    <w:rsid w:val="001B3452"/>
    <w:rsid w:val="001B4334"/>
    <w:rsid w:val="001B44DE"/>
    <w:rsid w:val="001B5C4F"/>
    <w:rsid w:val="001B5DE8"/>
    <w:rsid w:val="001B649A"/>
    <w:rsid w:val="001B7337"/>
    <w:rsid w:val="001B75D3"/>
    <w:rsid w:val="001B7EB8"/>
    <w:rsid w:val="001C096E"/>
    <w:rsid w:val="001C261C"/>
    <w:rsid w:val="001C2F87"/>
    <w:rsid w:val="001C3E22"/>
    <w:rsid w:val="001C41D0"/>
    <w:rsid w:val="001C69EF"/>
    <w:rsid w:val="001C6B90"/>
    <w:rsid w:val="001C7B4C"/>
    <w:rsid w:val="001C7BA2"/>
    <w:rsid w:val="001C7D84"/>
    <w:rsid w:val="001D01AC"/>
    <w:rsid w:val="001D2134"/>
    <w:rsid w:val="001D2424"/>
    <w:rsid w:val="001D270D"/>
    <w:rsid w:val="001D5323"/>
    <w:rsid w:val="001D534F"/>
    <w:rsid w:val="001E0F74"/>
    <w:rsid w:val="001E1CFE"/>
    <w:rsid w:val="001E295F"/>
    <w:rsid w:val="001E3323"/>
    <w:rsid w:val="001E366D"/>
    <w:rsid w:val="001E4104"/>
    <w:rsid w:val="001E6E0A"/>
    <w:rsid w:val="001E6E39"/>
    <w:rsid w:val="001F0272"/>
    <w:rsid w:val="001F0776"/>
    <w:rsid w:val="001F24F0"/>
    <w:rsid w:val="001F2773"/>
    <w:rsid w:val="001F2903"/>
    <w:rsid w:val="001F38B0"/>
    <w:rsid w:val="001F6001"/>
    <w:rsid w:val="001F602E"/>
    <w:rsid w:val="001F6422"/>
    <w:rsid w:val="001F69C1"/>
    <w:rsid w:val="001F787E"/>
    <w:rsid w:val="002000E4"/>
    <w:rsid w:val="002006C0"/>
    <w:rsid w:val="00202AF2"/>
    <w:rsid w:val="00206840"/>
    <w:rsid w:val="00207A6E"/>
    <w:rsid w:val="00207E1B"/>
    <w:rsid w:val="002108B1"/>
    <w:rsid w:val="00210E06"/>
    <w:rsid w:val="00212530"/>
    <w:rsid w:val="002125C4"/>
    <w:rsid w:val="00212AC6"/>
    <w:rsid w:val="002134BD"/>
    <w:rsid w:val="00214783"/>
    <w:rsid w:val="0021588C"/>
    <w:rsid w:val="00216CC4"/>
    <w:rsid w:val="0021756C"/>
    <w:rsid w:val="00217675"/>
    <w:rsid w:val="00220A88"/>
    <w:rsid w:val="002214FF"/>
    <w:rsid w:val="0022204A"/>
    <w:rsid w:val="00222A6D"/>
    <w:rsid w:val="00227D1F"/>
    <w:rsid w:val="00230012"/>
    <w:rsid w:val="002302E0"/>
    <w:rsid w:val="00231A7F"/>
    <w:rsid w:val="00233634"/>
    <w:rsid w:val="00233E42"/>
    <w:rsid w:val="00236AE7"/>
    <w:rsid w:val="00237CDB"/>
    <w:rsid w:val="0024204C"/>
    <w:rsid w:val="00242651"/>
    <w:rsid w:val="00245815"/>
    <w:rsid w:val="00251B50"/>
    <w:rsid w:val="00251BA3"/>
    <w:rsid w:val="0025220D"/>
    <w:rsid w:val="00254FB7"/>
    <w:rsid w:val="0025585B"/>
    <w:rsid w:val="002567AD"/>
    <w:rsid w:val="0025707A"/>
    <w:rsid w:val="00257570"/>
    <w:rsid w:val="00257984"/>
    <w:rsid w:val="00260253"/>
    <w:rsid w:val="00260415"/>
    <w:rsid w:val="002624D4"/>
    <w:rsid w:val="00262CDB"/>
    <w:rsid w:val="002641FB"/>
    <w:rsid w:val="002644F1"/>
    <w:rsid w:val="00265504"/>
    <w:rsid w:val="00266604"/>
    <w:rsid w:val="0026745E"/>
    <w:rsid w:val="00267534"/>
    <w:rsid w:val="002679E0"/>
    <w:rsid w:val="00270F3C"/>
    <w:rsid w:val="002715B6"/>
    <w:rsid w:val="0027189A"/>
    <w:rsid w:val="002718B1"/>
    <w:rsid w:val="00273598"/>
    <w:rsid w:val="00274ED0"/>
    <w:rsid w:val="00276EBB"/>
    <w:rsid w:val="00277547"/>
    <w:rsid w:val="00277D15"/>
    <w:rsid w:val="00280DB3"/>
    <w:rsid w:val="0028209E"/>
    <w:rsid w:val="00283311"/>
    <w:rsid w:val="002835C4"/>
    <w:rsid w:val="00283A89"/>
    <w:rsid w:val="0028546E"/>
    <w:rsid w:val="00286BEE"/>
    <w:rsid w:val="00287944"/>
    <w:rsid w:val="00287BB2"/>
    <w:rsid w:val="002903DE"/>
    <w:rsid w:val="002906F3"/>
    <w:rsid w:val="00291E4E"/>
    <w:rsid w:val="002926C3"/>
    <w:rsid w:val="002944EB"/>
    <w:rsid w:val="00294519"/>
    <w:rsid w:val="002948CF"/>
    <w:rsid w:val="00294904"/>
    <w:rsid w:val="002A0AE4"/>
    <w:rsid w:val="002A1585"/>
    <w:rsid w:val="002A233F"/>
    <w:rsid w:val="002A2539"/>
    <w:rsid w:val="002A2DF1"/>
    <w:rsid w:val="002A35C6"/>
    <w:rsid w:val="002A3674"/>
    <w:rsid w:val="002A465C"/>
    <w:rsid w:val="002A499D"/>
    <w:rsid w:val="002A6B2A"/>
    <w:rsid w:val="002A72B9"/>
    <w:rsid w:val="002A7381"/>
    <w:rsid w:val="002A75D9"/>
    <w:rsid w:val="002B0468"/>
    <w:rsid w:val="002B0A16"/>
    <w:rsid w:val="002B0B8B"/>
    <w:rsid w:val="002B0DA6"/>
    <w:rsid w:val="002B0E56"/>
    <w:rsid w:val="002B2AD3"/>
    <w:rsid w:val="002B2DB0"/>
    <w:rsid w:val="002B4269"/>
    <w:rsid w:val="002B43E8"/>
    <w:rsid w:val="002B4651"/>
    <w:rsid w:val="002B4C0D"/>
    <w:rsid w:val="002B501F"/>
    <w:rsid w:val="002B683C"/>
    <w:rsid w:val="002B6BCD"/>
    <w:rsid w:val="002B73B1"/>
    <w:rsid w:val="002B7CD1"/>
    <w:rsid w:val="002C1155"/>
    <w:rsid w:val="002C39D0"/>
    <w:rsid w:val="002C42FE"/>
    <w:rsid w:val="002C43F7"/>
    <w:rsid w:val="002C7E61"/>
    <w:rsid w:val="002D11F4"/>
    <w:rsid w:val="002D22E4"/>
    <w:rsid w:val="002D270C"/>
    <w:rsid w:val="002D49B3"/>
    <w:rsid w:val="002D5AEB"/>
    <w:rsid w:val="002D66A3"/>
    <w:rsid w:val="002E1981"/>
    <w:rsid w:val="002E5C12"/>
    <w:rsid w:val="002F034F"/>
    <w:rsid w:val="002F1C66"/>
    <w:rsid w:val="002F1FA2"/>
    <w:rsid w:val="002F264B"/>
    <w:rsid w:val="002F35D8"/>
    <w:rsid w:val="002F4487"/>
    <w:rsid w:val="002F5E07"/>
    <w:rsid w:val="002F71ED"/>
    <w:rsid w:val="002F7676"/>
    <w:rsid w:val="002F7EC9"/>
    <w:rsid w:val="003005CB"/>
    <w:rsid w:val="00301A9F"/>
    <w:rsid w:val="00302B42"/>
    <w:rsid w:val="00303FF9"/>
    <w:rsid w:val="003042BB"/>
    <w:rsid w:val="00304769"/>
    <w:rsid w:val="003049E1"/>
    <w:rsid w:val="00305D6D"/>
    <w:rsid w:val="00307268"/>
    <w:rsid w:val="003074BB"/>
    <w:rsid w:val="003077C9"/>
    <w:rsid w:val="00310080"/>
    <w:rsid w:val="003103A1"/>
    <w:rsid w:val="00311E5B"/>
    <w:rsid w:val="00312456"/>
    <w:rsid w:val="00312692"/>
    <w:rsid w:val="00312927"/>
    <w:rsid w:val="00312985"/>
    <w:rsid w:val="00312C50"/>
    <w:rsid w:val="00312CF5"/>
    <w:rsid w:val="0031306C"/>
    <w:rsid w:val="00313430"/>
    <w:rsid w:val="00315C33"/>
    <w:rsid w:val="00315E4B"/>
    <w:rsid w:val="003163F1"/>
    <w:rsid w:val="00316CE2"/>
    <w:rsid w:val="00316D71"/>
    <w:rsid w:val="0032134E"/>
    <w:rsid w:val="003217C5"/>
    <w:rsid w:val="00324C69"/>
    <w:rsid w:val="003254BC"/>
    <w:rsid w:val="00327431"/>
    <w:rsid w:val="00327DE9"/>
    <w:rsid w:val="0033293A"/>
    <w:rsid w:val="00332A7A"/>
    <w:rsid w:val="00333E9D"/>
    <w:rsid w:val="00336451"/>
    <w:rsid w:val="00336571"/>
    <w:rsid w:val="00336E0C"/>
    <w:rsid w:val="0034076D"/>
    <w:rsid w:val="00340E4E"/>
    <w:rsid w:val="003413D9"/>
    <w:rsid w:val="00342B07"/>
    <w:rsid w:val="0034430A"/>
    <w:rsid w:val="003447BC"/>
    <w:rsid w:val="00345937"/>
    <w:rsid w:val="00346005"/>
    <w:rsid w:val="00346278"/>
    <w:rsid w:val="0034636F"/>
    <w:rsid w:val="00347B46"/>
    <w:rsid w:val="003500D6"/>
    <w:rsid w:val="00352393"/>
    <w:rsid w:val="00353079"/>
    <w:rsid w:val="00353109"/>
    <w:rsid w:val="0035417B"/>
    <w:rsid w:val="00355C62"/>
    <w:rsid w:val="003565B2"/>
    <w:rsid w:val="0035729E"/>
    <w:rsid w:val="00357814"/>
    <w:rsid w:val="00362F8E"/>
    <w:rsid w:val="00364E96"/>
    <w:rsid w:val="00365F41"/>
    <w:rsid w:val="00365F5C"/>
    <w:rsid w:val="00366D4D"/>
    <w:rsid w:val="00366F92"/>
    <w:rsid w:val="00367F5A"/>
    <w:rsid w:val="00370F1D"/>
    <w:rsid w:val="00372338"/>
    <w:rsid w:val="00374A96"/>
    <w:rsid w:val="00376E37"/>
    <w:rsid w:val="003775EE"/>
    <w:rsid w:val="00377A3E"/>
    <w:rsid w:val="00377BA1"/>
    <w:rsid w:val="0038037A"/>
    <w:rsid w:val="00381471"/>
    <w:rsid w:val="0038287C"/>
    <w:rsid w:val="003831E7"/>
    <w:rsid w:val="00383201"/>
    <w:rsid w:val="00384C89"/>
    <w:rsid w:val="003871F7"/>
    <w:rsid w:val="0039053A"/>
    <w:rsid w:val="00391C63"/>
    <w:rsid w:val="00392D3C"/>
    <w:rsid w:val="0039370F"/>
    <w:rsid w:val="00393D5C"/>
    <w:rsid w:val="00394107"/>
    <w:rsid w:val="00395339"/>
    <w:rsid w:val="00395C22"/>
    <w:rsid w:val="00396B6D"/>
    <w:rsid w:val="003970A1"/>
    <w:rsid w:val="003970C7"/>
    <w:rsid w:val="00397722"/>
    <w:rsid w:val="00397CC8"/>
    <w:rsid w:val="003A0047"/>
    <w:rsid w:val="003A0DD9"/>
    <w:rsid w:val="003A0F48"/>
    <w:rsid w:val="003A28EF"/>
    <w:rsid w:val="003A437D"/>
    <w:rsid w:val="003A49AD"/>
    <w:rsid w:val="003A57A7"/>
    <w:rsid w:val="003A7E54"/>
    <w:rsid w:val="003B0577"/>
    <w:rsid w:val="003B25AB"/>
    <w:rsid w:val="003B27B8"/>
    <w:rsid w:val="003B2874"/>
    <w:rsid w:val="003B29C6"/>
    <w:rsid w:val="003B2CFA"/>
    <w:rsid w:val="003B53C2"/>
    <w:rsid w:val="003B5A97"/>
    <w:rsid w:val="003B74E4"/>
    <w:rsid w:val="003C32AA"/>
    <w:rsid w:val="003C3535"/>
    <w:rsid w:val="003C38E2"/>
    <w:rsid w:val="003C5B88"/>
    <w:rsid w:val="003C6211"/>
    <w:rsid w:val="003C6F68"/>
    <w:rsid w:val="003C7C4B"/>
    <w:rsid w:val="003D4285"/>
    <w:rsid w:val="003D629F"/>
    <w:rsid w:val="003D7240"/>
    <w:rsid w:val="003E1409"/>
    <w:rsid w:val="003E215A"/>
    <w:rsid w:val="003E2224"/>
    <w:rsid w:val="003E33D9"/>
    <w:rsid w:val="003E5F7F"/>
    <w:rsid w:val="003E723D"/>
    <w:rsid w:val="003E7913"/>
    <w:rsid w:val="003F1CE4"/>
    <w:rsid w:val="003F1FE4"/>
    <w:rsid w:val="003F2BE3"/>
    <w:rsid w:val="003F331C"/>
    <w:rsid w:val="003F3BCE"/>
    <w:rsid w:val="003F4394"/>
    <w:rsid w:val="003F4A3C"/>
    <w:rsid w:val="003F6610"/>
    <w:rsid w:val="003F67FA"/>
    <w:rsid w:val="003F6943"/>
    <w:rsid w:val="003F72C5"/>
    <w:rsid w:val="004011E9"/>
    <w:rsid w:val="00402E4C"/>
    <w:rsid w:val="00403171"/>
    <w:rsid w:val="00403C0C"/>
    <w:rsid w:val="00405413"/>
    <w:rsid w:val="00406F05"/>
    <w:rsid w:val="004076A2"/>
    <w:rsid w:val="00410319"/>
    <w:rsid w:val="00410426"/>
    <w:rsid w:val="004106AB"/>
    <w:rsid w:val="00410960"/>
    <w:rsid w:val="00410DD0"/>
    <w:rsid w:val="0041426B"/>
    <w:rsid w:val="00415846"/>
    <w:rsid w:val="00421106"/>
    <w:rsid w:val="00421460"/>
    <w:rsid w:val="00421883"/>
    <w:rsid w:val="00424A53"/>
    <w:rsid w:val="00425D78"/>
    <w:rsid w:val="00427138"/>
    <w:rsid w:val="00431BC9"/>
    <w:rsid w:val="0043217C"/>
    <w:rsid w:val="00434A0F"/>
    <w:rsid w:val="00434A49"/>
    <w:rsid w:val="00435F23"/>
    <w:rsid w:val="00436611"/>
    <w:rsid w:val="00437338"/>
    <w:rsid w:val="004405D1"/>
    <w:rsid w:val="0044195F"/>
    <w:rsid w:val="00442F4F"/>
    <w:rsid w:val="00443794"/>
    <w:rsid w:val="004475B0"/>
    <w:rsid w:val="0045075F"/>
    <w:rsid w:val="004512A5"/>
    <w:rsid w:val="00451943"/>
    <w:rsid w:val="004530DE"/>
    <w:rsid w:val="00453D90"/>
    <w:rsid w:val="0045465D"/>
    <w:rsid w:val="00455038"/>
    <w:rsid w:val="00457345"/>
    <w:rsid w:val="00460457"/>
    <w:rsid w:val="0046063C"/>
    <w:rsid w:val="0046091B"/>
    <w:rsid w:val="00460C08"/>
    <w:rsid w:val="00461F11"/>
    <w:rsid w:val="004629F6"/>
    <w:rsid w:val="00463B6E"/>
    <w:rsid w:val="004678C6"/>
    <w:rsid w:val="00467A2A"/>
    <w:rsid w:val="00467FDE"/>
    <w:rsid w:val="00470925"/>
    <w:rsid w:val="00471BAC"/>
    <w:rsid w:val="00472C5A"/>
    <w:rsid w:val="00472E38"/>
    <w:rsid w:val="00473275"/>
    <w:rsid w:val="00473810"/>
    <w:rsid w:val="00474E0F"/>
    <w:rsid w:val="004750A0"/>
    <w:rsid w:val="004760C4"/>
    <w:rsid w:val="004776BA"/>
    <w:rsid w:val="00477807"/>
    <w:rsid w:val="0048047C"/>
    <w:rsid w:val="0048203B"/>
    <w:rsid w:val="0048225E"/>
    <w:rsid w:val="00482CFD"/>
    <w:rsid w:val="00483976"/>
    <w:rsid w:val="00483E8E"/>
    <w:rsid w:val="00485E20"/>
    <w:rsid w:val="00490F2E"/>
    <w:rsid w:val="00492C9A"/>
    <w:rsid w:val="00494B20"/>
    <w:rsid w:val="00495913"/>
    <w:rsid w:val="00495CF6"/>
    <w:rsid w:val="004A0A06"/>
    <w:rsid w:val="004A1480"/>
    <w:rsid w:val="004A7186"/>
    <w:rsid w:val="004A7F25"/>
    <w:rsid w:val="004B01BC"/>
    <w:rsid w:val="004B0BB8"/>
    <w:rsid w:val="004B3A56"/>
    <w:rsid w:val="004B4D54"/>
    <w:rsid w:val="004B5874"/>
    <w:rsid w:val="004B6989"/>
    <w:rsid w:val="004B713E"/>
    <w:rsid w:val="004C05BC"/>
    <w:rsid w:val="004C1082"/>
    <w:rsid w:val="004C144F"/>
    <w:rsid w:val="004C15CB"/>
    <w:rsid w:val="004C20D0"/>
    <w:rsid w:val="004C254E"/>
    <w:rsid w:val="004C2C71"/>
    <w:rsid w:val="004C3301"/>
    <w:rsid w:val="004C46D7"/>
    <w:rsid w:val="004C4802"/>
    <w:rsid w:val="004C5A28"/>
    <w:rsid w:val="004C61A0"/>
    <w:rsid w:val="004C623C"/>
    <w:rsid w:val="004C72D6"/>
    <w:rsid w:val="004C7649"/>
    <w:rsid w:val="004D1FA5"/>
    <w:rsid w:val="004D3513"/>
    <w:rsid w:val="004D468B"/>
    <w:rsid w:val="004D48C2"/>
    <w:rsid w:val="004D6C28"/>
    <w:rsid w:val="004E00A7"/>
    <w:rsid w:val="004E0453"/>
    <w:rsid w:val="004E1A47"/>
    <w:rsid w:val="004E2391"/>
    <w:rsid w:val="004E25E4"/>
    <w:rsid w:val="004E2A8E"/>
    <w:rsid w:val="004E32FC"/>
    <w:rsid w:val="004E3C85"/>
    <w:rsid w:val="004E3DA9"/>
    <w:rsid w:val="004E510E"/>
    <w:rsid w:val="004E52E8"/>
    <w:rsid w:val="004E54D0"/>
    <w:rsid w:val="004E6C6F"/>
    <w:rsid w:val="004E6FEF"/>
    <w:rsid w:val="004E74F6"/>
    <w:rsid w:val="004E7E02"/>
    <w:rsid w:val="004F0AC4"/>
    <w:rsid w:val="004F1402"/>
    <w:rsid w:val="004F20EB"/>
    <w:rsid w:val="004F263B"/>
    <w:rsid w:val="004F2902"/>
    <w:rsid w:val="004F2B74"/>
    <w:rsid w:val="004F369E"/>
    <w:rsid w:val="004F37E8"/>
    <w:rsid w:val="004F6403"/>
    <w:rsid w:val="004F6661"/>
    <w:rsid w:val="004F7A9D"/>
    <w:rsid w:val="00501203"/>
    <w:rsid w:val="00503214"/>
    <w:rsid w:val="00503A13"/>
    <w:rsid w:val="0050523A"/>
    <w:rsid w:val="0050539B"/>
    <w:rsid w:val="0050634E"/>
    <w:rsid w:val="005070FD"/>
    <w:rsid w:val="005072D5"/>
    <w:rsid w:val="00507970"/>
    <w:rsid w:val="00507E37"/>
    <w:rsid w:val="00510164"/>
    <w:rsid w:val="0051016E"/>
    <w:rsid w:val="005104C4"/>
    <w:rsid w:val="005117B8"/>
    <w:rsid w:val="00511DE8"/>
    <w:rsid w:val="00511ECE"/>
    <w:rsid w:val="00511EEE"/>
    <w:rsid w:val="00515167"/>
    <w:rsid w:val="00516ED8"/>
    <w:rsid w:val="00517B69"/>
    <w:rsid w:val="00520A1B"/>
    <w:rsid w:val="0052153F"/>
    <w:rsid w:val="00523969"/>
    <w:rsid w:val="00523E5C"/>
    <w:rsid w:val="00524957"/>
    <w:rsid w:val="00526644"/>
    <w:rsid w:val="00531929"/>
    <w:rsid w:val="00531C37"/>
    <w:rsid w:val="00531C3C"/>
    <w:rsid w:val="005322E2"/>
    <w:rsid w:val="0053274B"/>
    <w:rsid w:val="0053461B"/>
    <w:rsid w:val="00536BA4"/>
    <w:rsid w:val="00540731"/>
    <w:rsid w:val="00541281"/>
    <w:rsid w:val="00541B95"/>
    <w:rsid w:val="005452AB"/>
    <w:rsid w:val="00546C5F"/>
    <w:rsid w:val="0054738D"/>
    <w:rsid w:val="00550814"/>
    <w:rsid w:val="00551074"/>
    <w:rsid w:val="0055305B"/>
    <w:rsid w:val="005531B9"/>
    <w:rsid w:val="00554F43"/>
    <w:rsid w:val="00555267"/>
    <w:rsid w:val="00555CCD"/>
    <w:rsid w:val="0055620F"/>
    <w:rsid w:val="005563DE"/>
    <w:rsid w:val="005567C9"/>
    <w:rsid w:val="00556856"/>
    <w:rsid w:val="00556E04"/>
    <w:rsid w:val="00557012"/>
    <w:rsid w:val="00565A0F"/>
    <w:rsid w:val="00566184"/>
    <w:rsid w:val="00566F12"/>
    <w:rsid w:val="0056783C"/>
    <w:rsid w:val="00567E20"/>
    <w:rsid w:val="005716C8"/>
    <w:rsid w:val="00576E54"/>
    <w:rsid w:val="0057715D"/>
    <w:rsid w:val="005774BA"/>
    <w:rsid w:val="0057783B"/>
    <w:rsid w:val="005801EA"/>
    <w:rsid w:val="00580298"/>
    <w:rsid w:val="00580C71"/>
    <w:rsid w:val="0058142B"/>
    <w:rsid w:val="005844FC"/>
    <w:rsid w:val="00584E9E"/>
    <w:rsid w:val="00585220"/>
    <w:rsid w:val="00586749"/>
    <w:rsid w:val="005911B9"/>
    <w:rsid w:val="005913F7"/>
    <w:rsid w:val="00591C59"/>
    <w:rsid w:val="005921FC"/>
    <w:rsid w:val="00593B50"/>
    <w:rsid w:val="005949FA"/>
    <w:rsid w:val="00595FDC"/>
    <w:rsid w:val="00596CA7"/>
    <w:rsid w:val="00597C15"/>
    <w:rsid w:val="005A1693"/>
    <w:rsid w:val="005A2086"/>
    <w:rsid w:val="005A34C5"/>
    <w:rsid w:val="005A3CA7"/>
    <w:rsid w:val="005A44FC"/>
    <w:rsid w:val="005A4EF5"/>
    <w:rsid w:val="005A697C"/>
    <w:rsid w:val="005A70FD"/>
    <w:rsid w:val="005B0249"/>
    <w:rsid w:val="005B1069"/>
    <w:rsid w:val="005B1F02"/>
    <w:rsid w:val="005B3223"/>
    <w:rsid w:val="005B4384"/>
    <w:rsid w:val="005B4E63"/>
    <w:rsid w:val="005B75AE"/>
    <w:rsid w:val="005C244F"/>
    <w:rsid w:val="005C2BDA"/>
    <w:rsid w:val="005C3A24"/>
    <w:rsid w:val="005C3E81"/>
    <w:rsid w:val="005C4266"/>
    <w:rsid w:val="005C5416"/>
    <w:rsid w:val="005C6C0E"/>
    <w:rsid w:val="005C7538"/>
    <w:rsid w:val="005D03EA"/>
    <w:rsid w:val="005D11FA"/>
    <w:rsid w:val="005D40A2"/>
    <w:rsid w:val="005D5B6B"/>
    <w:rsid w:val="005D7791"/>
    <w:rsid w:val="005D77A4"/>
    <w:rsid w:val="005D7CED"/>
    <w:rsid w:val="005E05AA"/>
    <w:rsid w:val="005E1899"/>
    <w:rsid w:val="005E2DB5"/>
    <w:rsid w:val="005E4290"/>
    <w:rsid w:val="005E50B6"/>
    <w:rsid w:val="005E73DA"/>
    <w:rsid w:val="005E7628"/>
    <w:rsid w:val="005E76BE"/>
    <w:rsid w:val="005F0F6B"/>
    <w:rsid w:val="005F12B4"/>
    <w:rsid w:val="005F1C34"/>
    <w:rsid w:val="005F1C72"/>
    <w:rsid w:val="005F28C9"/>
    <w:rsid w:val="005F3214"/>
    <w:rsid w:val="005F33A6"/>
    <w:rsid w:val="005F3BEB"/>
    <w:rsid w:val="005F3D44"/>
    <w:rsid w:val="005F5803"/>
    <w:rsid w:val="005F5CEE"/>
    <w:rsid w:val="005F5EE9"/>
    <w:rsid w:val="005F69DC"/>
    <w:rsid w:val="005F783F"/>
    <w:rsid w:val="0060042F"/>
    <w:rsid w:val="00600A2E"/>
    <w:rsid w:val="00601699"/>
    <w:rsid w:val="00603F5F"/>
    <w:rsid w:val="00604A03"/>
    <w:rsid w:val="00605A29"/>
    <w:rsid w:val="006106A7"/>
    <w:rsid w:val="006111A0"/>
    <w:rsid w:val="006127AF"/>
    <w:rsid w:val="006131E3"/>
    <w:rsid w:val="006140A2"/>
    <w:rsid w:val="00616075"/>
    <w:rsid w:val="00617300"/>
    <w:rsid w:val="00617772"/>
    <w:rsid w:val="006177F2"/>
    <w:rsid w:val="006219FF"/>
    <w:rsid w:val="00621E25"/>
    <w:rsid w:val="00622277"/>
    <w:rsid w:val="00622488"/>
    <w:rsid w:val="006229BF"/>
    <w:rsid w:val="00622DD3"/>
    <w:rsid w:val="006235B5"/>
    <w:rsid w:val="00625200"/>
    <w:rsid w:val="00625C80"/>
    <w:rsid w:val="006265ED"/>
    <w:rsid w:val="00630074"/>
    <w:rsid w:val="006304D4"/>
    <w:rsid w:val="00636529"/>
    <w:rsid w:val="00640AB2"/>
    <w:rsid w:val="00640ACE"/>
    <w:rsid w:val="006411C1"/>
    <w:rsid w:val="006411CC"/>
    <w:rsid w:val="006414E0"/>
    <w:rsid w:val="00641D51"/>
    <w:rsid w:val="00641F1D"/>
    <w:rsid w:val="00642EC8"/>
    <w:rsid w:val="0064410F"/>
    <w:rsid w:val="00644A59"/>
    <w:rsid w:val="00644E18"/>
    <w:rsid w:val="0064546C"/>
    <w:rsid w:val="00645796"/>
    <w:rsid w:val="006461BB"/>
    <w:rsid w:val="006462DA"/>
    <w:rsid w:val="006467F9"/>
    <w:rsid w:val="00647A14"/>
    <w:rsid w:val="00647D56"/>
    <w:rsid w:val="006514A6"/>
    <w:rsid w:val="00651F91"/>
    <w:rsid w:val="00652322"/>
    <w:rsid w:val="00653876"/>
    <w:rsid w:val="0065500B"/>
    <w:rsid w:val="00656C20"/>
    <w:rsid w:val="00657A27"/>
    <w:rsid w:val="006609FB"/>
    <w:rsid w:val="006621BD"/>
    <w:rsid w:val="006624C5"/>
    <w:rsid w:val="006629F8"/>
    <w:rsid w:val="006634DB"/>
    <w:rsid w:val="0066450E"/>
    <w:rsid w:val="00664EB4"/>
    <w:rsid w:val="00664EC1"/>
    <w:rsid w:val="00665A90"/>
    <w:rsid w:val="00665E5F"/>
    <w:rsid w:val="0067220C"/>
    <w:rsid w:val="00672C5C"/>
    <w:rsid w:val="00673227"/>
    <w:rsid w:val="00673D2D"/>
    <w:rsid w:val="00675429"/>
    <w:rsid w:val="00675CB1"/>
    <w:rsid w:val="0068150D"/>
    <w:rsid w:val="00681D83"/>
    <w:rsid w:val="00681FCC"/>
    <w:rsid w:val="00682777"/>
    <w:rsid w:val="00682A20"/>
    <w:rsid w:val="00683699"/>
    <w:rsid w:val="006843F9"/>
    <w:rsid w:val="00685616"/>
    <w:rsid w:val="00686142"/>
    <w:rsid w:val="00686759"/>
    <w:rsid w:val="00687BF4"/>
    <w:rsid w:val="006907C3"/>
    <w:rsid w:val="00692E31"/>
    <w:rsid w:val="00693AD7"/>
    <w:rsid w:val="00693B27"/>
    <w:rsid w:val="006944D9"/>
    <w:rsid w:val="006945C3"/>
    <w:rsid w:val="00695B18"/>
    <w:rsid w:val="0069666B"/>
    <w:rsid w:val="00697814"/>
    <w:rsid w:val="006A254D"/>
    <w:rsid w:val="006A516C"/>
    <w:rsid w:val="006A686D"/>
    <w:rsid w:val="006A6AFD"/>
    <w:rsid w:val="006B11EF"/>
    <w:rsid w:val="006B1213"/>
    <w:rsid w:val="006B3E5B"/>
    <w:rsid w:val="006B507E"/>
    <w:rsid w:val="006B7479"/>
    <w:rsid w:val="006C1A7A"/>
    <w:rsid w:val="006C2896"/>
    <w:rsid w:val="006C5DFD"/>
    <w:rsid w:val="006C5F05"/>
    <w:rsid w:val="006C62FE"/>
    <w:rsid w:val="006C6645"/>
    <w:rsid w:val="006C6F31"/>
    <w:rsid w:val="006D1361"/>
    <w:rsid w:val="006D1F61"/>
    <w:rsid w:val="006D2513"/>
    <w:rsid w:val="006D2759"/>
    <w:rsid w:val="006D3C08"/>
    <w:rsid w:val="006D4DAC"/>
    <w:rsid w:val="006D67D3"/>
    <w:rsid w:val="006E0547"/>
    <w:rsid w:val="006E1307"/>
    <w:rsid w:val="006E1656"/>
    <w:rsid w:val="006E221B"/>
    <w:rsid w:val="006E24D3"/>
    <w:rsid w:val="006E2978"/>
    <w:rsid w:val="006E32E3"/>
    <w:rsid w:val="006E371F"/>
    <w:rsid w:val="006E3D8D"/>
    <w:rsid w:val="006E607B"/>
    <w:rsid w:val="006E707B"/>
    <w:rsid w:val="006E760D"/>
    <w:rsid w:val="006F219B"/>
    <w:rsid w:val="006F2343"/>
    <w:rsid w:val="006F26D1"/>
    <w:rsid w:val="00702544"/>
    <w:rsid w:val="00702FAC"/>
    <w:rsid w:val="007033AD"/>
    <w:rsid w:val="00703BA5"/>
    <w:rsid w:val="00704944"/>
    <w:rsid w:val="00706503"/>
    <w:rsid w:val="00706536"/>
    <w:rsid w:val="007065E8"/>
    <w:rsid w:val="00707346"/>
    <w:rsid w:val="00710C20"/>
    <w:rsid w:val="007111A8"/>
    <w:rsid w:val="00712BEE"/>
    <w:rsid w:val="007131BF"/>
    <w:rsid w:val="007145C0"/>
    <w:rsid w:val="00714F5F"/>
    <w:rsid w:val="0071515F"/>
    <w:rsid w:val="007166D4"/>
    <w:rsid w:val="00720901"/>
    <w:rsid w:val="007238EF"/>
    <w:rsid w:val="00724ABA"/>
    <w:rsid w:val="00726F28"/>
    <w:rsid w:val="007279B3"/>
    <w:rsid w:val="00730783"/>
    <w:rsid w:val="00731BA6"/>
    <w:rsid w:val="00732C62"/>
    <w:rsid w:val="00732D44"/>
    <w:rsid w:val="00734818"/>
    <w:rsid w:val="00734D00"/>
    <w:rsid w:val="00736044"/>
    <w:rsid w:val="00736818"/>
    <w:rsid w:val="00736902"/>
    <w:rsid w:val="007369D1"/>
    <w:rsid w:val="00740BC2"/>
    <w:rsid w:val="00741297"/>
    <w:rsid w:val="007419AB"/>
    <w:rsid w:val="007419BE"/>
    <w:rsid w:val="007421AF"/>
    <w:rsid w:val="0074318F"/>
    <w:rsid w:val="007445A8"/>
    <w:rsid w:val="00744907"/>
    <w:rsid w:val="00745746"/>
    <w:rsid w:val="00745FF3"/>
    <w:rsid w:val="00750118"/>
    <w:rsid w:val="007512B3"/>
    <w:rsid w:val="007533A6"/>
    <w:rsid w:val="007538B9"/>
    <w:rsid w:val="00753FC5"/>
    <w:rsid w:val="007561CD"/>
    <w:rsid w:val="00756360"/>
    <w:rsid w:val="007604C1"/>
    <w:rsid w:val="007605AB"/>
    <w:rsid w:val="007615EF"/>
    <w:rsid w:val="00761E5A"/>
    <w:rsid w:val="00762C34"/>
    <w:rsid w:val="007635E7"/>
    <w:rsid w:val="00764F33"/>
    <w:rsid w:val="00764F6C"/>
    <w:rsid w:val="0076503A"/>
    <w:rsid w:val="007659CE"/>
    <w:rsid w:val="00765CAE"/>
    <w:rsid w:val="00765FC3"/>
    <w:rsid w:val="00766920"/>
    <w:rsid w:val="00767412"/>
    <w:rsid w:val="00767AA0"/>
    <w:rsid w:val="007712A4"/>
    <w:rsid w:val="007724D8"/>
    <w:rsid w:val="00772A41"/>
    <w:rsid w:val="0077452F"/>
    <w:rsid w:val="00780B5F"/>
    <w:rsid w:val="007818B6"/>
    <w:rsid w:val="00781E77"/>
    <w:rsid w:val="00781F66"/>
    <w:rsid w:val="00782A46"/>
    <w:rsid w:val="00785A9C"/>
    <w:rsid w:val="00787FA4"/>
    <w:rsid w:val="007915E1"/>
    <w:rsid w:val="00791B89"/>
    <w:rsid w:val="00791E7F"/>
    <w:rsid w:val="00797456"/>
    <w:rsid w:val="007A0A61"/>
    <w:rsid w:val="007A16DA"/>
    <w:rsid w:val="007A2657"/>
    <w:rsid w:val="007A3537"/>
    <w:rsid w:val="007A4550"/>
    <w:rsid w:val="007A501D"/>
    <w:rsid w:val="007A57E8"/>
    <w:rsid w:val="007A64E8"/>
    <w:rsid w:val="007A71FF"/>
    <w:rsid w:val="007A7AD9"/>
    <w:rsid w:val="007A7B97"/>
    <w:rsid w:val="007B0FC7"/>
    <w:rsid w:val="007B1DCF"/>
    <w:rsid w:val="007B2085"/>
    <w:rsid w:val="007B51AB"/>
    <w:rsid w:val="007B521E"/>
    <w:rsid w:val="007B6D1F"/>
    <w:rsid w:val="007C18A8"/>
    <w:rsid w:val="007C1AB0"/>
    <w:rsid w:val="007C38BF"/>
    <w:rsid w:val="007C567E"/>
    <w:rsid w:val="007C572F"/>
    <w:rsid w:val="007C6181"/>
    <w:rsid w:val="007C6E0B"/>
    <w:rsid w:val="007C6E7C"/>
    <w:rsid w:val="007D049D"/>
    <w:rsid w:val="007D0AE6"/>
    <w:rsid w:val="007D35B7"/>
    <w:rsid w:val="007D4096"/>
    <w:rsid w:val="007D581C"/>
    <w:rsid w:val="007D6B76"/>
    <w:rsid w:val="007D6FFD"/>
    <w:rsid w:val="007E0D64"/>
    <w:rsid w:val="007E22F5"/>
    <w:rsid w:val="007E2C20"/>
    <w:rsid w:val="007E4667"/>
    <w:rsid w:val="007E4B64"/>
    <w:rsid w:val="007E6086"/>
    <w:rsid w:val="007E6ECA"/>
    <w:rsid w:val="007F0B37"/>
    <w:rsid w:val="007F14B4"/>
    <w:rsid w:val="007F21F2"/>
    <w:rsid w:val="007F4C5A"/>
    <w:rsid w:val="007F610A"/>
    <w:rsid w:val="007F6725"/>
    <w:rsid w:val="007F70C5"/>
    <w:rsid w:val="008006DC"/>
    <w:rsid w:val="0080126E"/>
    <w:rsid w:val="00801F4E"/>
    <w:rsid w:val="00803892"/>
    <w:rsid w:val="00804E1A"/>
    <w:rsid w:val="00804EED"/>
    <w:rsid w:val="00805172"/>
    <w:rsid w:val="00805CD8"/>
    <w:rsid w:val="008064CE"/>
    <w:rsid w:val="00806E06"/>
    <w:rsid w:val="0080730F"/>
    <w:rsid w:val="008077E0"/>
    <w:rsid w:val="008117FB"/>
    <w:rsid w:val="008118A1"/>
    <w:rsid w:val="00812EB2"/>
    <w:rsid w:val="00813844"/>
    <w:rsid w:val="00813D91"/>
    <w:rsid w:val="0081439B"/>
    <w:rsid w:val="00815B17"/>
    <w:rsid w:val="00817E9E"/>
    <w:rsid w:val="0082308B"/>
    <w:rsid w:val="00823AA8"/>
    <w:rsid w:val="008249BB"/>
    <w:rsid w:val="00824F04"/>
    <w:rsid w:val="008258DC"/>
    <w:rsid w:val="008306F7"/>
    <w:rsid w:val="00833258"/>
    <w:rsid w:val="0083389C"/>
    <w:rsid w:val="00833E0A"/>
    <w:rsid w:val="00833E60"/>
    <w:rsid w:val="00835096"/>
    <w:rsid w:val="00835AA9"/>
    <w:rsid w:val="00836344"/>
    <w:rsid w:val="00836954"/>
    <w:rsid w:val="00836C26"/>
    <w:rsid w:val="00837FC0"/>
    <w:rsid w:val="0084035C"/>
    <w:rsid w:val="0084076A"/>
    <w:rsid w:val="00841718"/>
    <w:rsid w:val="0085051A"/>
    <w:rsid w:val="008515BD"/>
    <w:rsid w:val="00851F2E"/>
    <w:rsid w:val="008523B4"/>
    <w:rsid w:val="00853290"/>
    <w:rsid w:val="008539C3"/>
    <w:rsid w:val="00854573"/>
    <w:rsid w:val="00854974"/>
    <w:rsid w:val="008565CB"/>
    <w:rsid w:val="00857B24"/>
    <w:rsid w:val="00860CD3"/>
    <w:rsid w:val="00861B26"/>
    <w:rsid w:val="00861DED"/>
    <w:rsid w:val="008624AE"/>
    <w:rsid w:val="00863582"/>
    <w:rsid w:val="00863F84"/>
    <w:rsid w:val="00864A4C"/>
    <w:rsid w:val="008675BB"/>
    <w:rsid w:val="00870186"/>
    <w:rsid w:val="00871E92"/>
    <w:rsid w:val="008773A7"/>
    <w:rsid w:val="00877FF5"/>
    <w:rsid w:val="00882A0B"/>
    <w:rsid w:val="00884016"/>
    <w:rsid w:val="008859F8"/>
    <w:rsid w:val="00886CAD"/>
    <w:rsid w:val="0088781C"/>
    <w:rsid w:val="0089081D"/>
    <w:rsid w:val="0089189D"/>
    <w:rsid w:val="00892F6D"/>
    <w:rsid w:val="00893DF3"/>
    <w:rsid w:val="00894EE1"/>
    <w:rsid w:val="008950AC"/>
    <w:rsid w:val="00897214"/>
    <w:rsid w:val="008A0061"/>
    <w:rsid w:val="008A04F9"/>
    <w:rsid w:val="008A0B31"/>
    <w:rsid w:val="008A197E"/>
    <w:rsid w:val="008A299D"/>
    <w:rsid w:val="008A3A6E"/>
    <w:rsid w:val="008A4580"/>
    <w:rsid w:val="008A4878"/>
    <w:rsid w:val="008A4FF1"/>
    <w:rsid w:val="008A631E"/>
    <w:rsid w:val="008A7F02"/>
    <w:rsid w:val="008A7F0C"/>
    <w:rsid w:val="008B0623"/>
    <w:rsid w:val="008B0B11"/>
    <w:rsid w:val="008B1489"/>
    <w:rsid w:val="008B206B"/>
    <w:rsid w:val="008B27B0"/>
    <w:rsid w:val="008B3099"/>
    <w:rsid w:val="008B4293"/>
    <w:rsid w:val="008B5382"/>
    <w:rsid w:val="008B5B27"/>
    <w:rsid w:val="008B619E"/>
    <w:rsid w:val="008B72EA"/>
    <w:rsid w:val="008B79DC"/>
    <w:rsid w:val="008B7AD1"/>
    <w:rsid w:val="008C0EDD"/>
    <w:rsid w:val="008C25FD"/>
    <w:rsid w:val="008C2940"/>
    <w:rsid w:val="008C2A0E"/>
    <w:rsid w:val="008C35A2"/>
    <w:rsid w:val="008C457C"/>
    <w:rsid w:val="008C4ECE"/>
    <w:rsid w:val="008C5CEF"/>
    <w:rsid w:val="008C6119"/>
    <w:rsid w:val="008C6405"/>
    <w:rsid w:val="008C6B46"/>
    <w:rsid w:val="008C7950"/>
    <w:rsid w:val="008D1219"/>
    <w:rsid w:val="008D1DF9"/>
    <w:rsid w:val="008D5289"/>
    <w:rsid w:val="008D5AD4"/>
    <w:rsid w:val="008D6850"/>
    <w:rsid w:val="008D7FC9"/>
    <w:rsid w:val="008E1396"/>
    <w:rsid w:val="008E2254"/>
    <w:rsid w:val="008E247E"/>
    <w:rsid w:val="008E2B20"/>
    <w:rsid w:val="008E308D"/>
    <w:rsid w:val="008E3103"/>
    <w:rsid w:val="008E3474"/>
    <w:rsid w:val="008E37FC"/>
    <w:rsid w:val="008E3E13"/>
    <w:rsid w:val="008E48C0"/>
    <w:rsid w:val="008E5007"/>
    <w:rsid w:val="008E656E"/>
    <w:rsid w:val="008E6BC8"/>
    <w:rsid w:val="008E7664"/>
    <w:rsid w:val="008F0541"/>
    <w:rsid w:val="008F07B6"/>
    <w:rsid w:val="008F095E"/>
    <w:rsid w:val="008F0C00"/>
    <w:rsid w:val="008F10E6"/>
    <w:rsid w:val="008F23C8"/>
    <w:rsid w:val="008F3693"/>
    <w:rsid w:val="008F4780"/>
    <w:rsid w:val="008F4E64"/>
    <w:rsid w:val="008F5792"/>
    <w:rsid w:val="008F6600"/>
    <w:rsid w:val="008F693F"/>
    <w:rsid w:val="008F7041"/>
    <w:rsid w:val="00900265"/>
    <w:rsid w:val="00900DF4"/>
    <w:rsid w:val="00902633"/>
    <w:rsid w:val="00902BFB"/>
    <w:rsid w:val="00903C55"/>
    <w:rsid w:val="00903F76"/>
    <w:rsid w:val="0090420E"/>
    <w:rsid w:val="00904364"/>
    <w:rsid w:val="009043EB"/>
    <w:rsid w:val="00906561"/>
    <w:rsid w:val="009077C6"/>
    <w:rsid w:val="00907819"/>
    <w:rsid w:val="00910675"/>
    <w:rsid w:val="00911B76"/>
    <w:rsid w:val="009127C0"/>
    <w:rsid w:val="009131FF"/>
    <w:rsid w:val="009140A8"/>
    <w:rsid w:val="0091472C"/>
    <w:rsid w:val="0091496E"/>
    <w:rsid w:val="009149CF"/>
    <w:rsid w:val="00920907"/>
    <w:rsid w:val="009218CC"/>
    <w:rsid w:val="00923C08"/>
    <w:rsid w:val="00923F6C"/>
    <w:rsid w:val="00925F2E"/>
    <w:rsid w:val="00926235"/>
    <w:rsid w:val="00926AE7"/>
    <w:rsid w:val="00926ECD"/>
    <w:rsid w:val="00927339"/>
    <w:rsid w:val="009305FC"/>
    <w:rsid w:val="0093135D"/>
    <w:rsid w:val="00931A83"/>
    <w:rsid w:val="009332D5"/>
    <w:rsid w:val="009375BF"/>
    <w:rsid w:val="009419E2"/>
    <w:rsid w:val="009426A0"/>
    <w:rsid w:val="0094437A"/>
    <w:rsid w:val="0094530D"/>
    <w:rsid w:val="00945998"/>
    <w:rsid w:val="009460A6"/>
    <w:rsid w:val="00946568"/>
    <w:rsid w:val="0094669B"/>
    <w:rsid w:val="00955974"/>
    <w:rsid w:val="00955DF8"/>
    <w:rsid w:val="00956983"/>
    <w:rsid w:val="00957DDA"/>
    <w:rsid w:val="009610AF"/>
    <w:rsid w:val="009610EA"/>
    <w:rsid w:val="00964C33"/>
    <w:rsid w:val="0096508F"/>
    <w:rsid w:val="009704E5"/>
    <w:rsid w:val="00970D74"/>
    <w:rsid w:val="00971156"/>
    <w:rsid w:val="00971A66"/>
    <w:rsid w:val="00972EB3"/>
    <w:rsid w:val="009739D6"/>
    <w:rsid w:val="00973D97"/>
    <w:rsid w:val="00974027"/>
    <w:rsid w:val="0097510C"/>
    <w:rsid w:val="00975510"/>
    <w:rsid w:val="00975772"/>
    <w:rsid w:val="00977171"/>
    <w:rsid w:val="00977C28"/>
    <w:rsid w:val="009806E9"/>
    <w:rsid w:val="0098073E"/>
    <w:rsid w:val="0098111A"/>
    <w:rsid w:val="00984AA1"/>
    <w:rsid w:val="00985340"/>
    <w:rsid w:val="009875E6"/>
    <w:rsid w:val="00990C80"/>
    <w:rsid w:val="00991EB0"/>
    <w:rsid w:val="00992462"/>
    <w:rsid w:val="00993523"/>
    <w:rsid w:val="0099393C"/>
    <w:rsid w:val="009942AF"/>
    <w:rsid w:val="0099449F"/>
    <w:rsid w:val="00994824"/>
    <w:rsid w:val="00994E99"/>
    <w:rsid w:val="00995421"/>
    <w:rsid w:val="00996928"/>
    <w:rsid w:val="00997321"/>
    <w:rsid w:val="009A04C1"/>
    <w:rsid w:val="009A1379"/>
    <w:rsid w:val="009A2794"/>
    <w:rsid w:val="009A2DE0"/>
    <w:rsid w:val="009A3992"/>
    <w:rsid w:val="009A537B"/>
    <w:rsid w:val="009A69D7"/>
    <w:rsid w:val="009A6E2B"/>
    <w:rsid w:val="009A7B06"/>
    <w:rsid w:val="009A7F7D"/>
    <w:rsid w:val="009B093C"/>
    <w:rsid w:val="009B0ED2"/>
    <w:rsid w:val="009B10D1"/>
    <w:rsid w:val="009B1196"/>
    <w:rsid w:val="009B1386"/>
    <w:rsid w:val="009B1D6F"/>
    <w:rsid w:val="009B3BC4"/>
    <w:rsid w:val="009B4D8A"/>
    <w:rsid w:val="009B4DF0"/>
    <w:rsid w:val="009B5CB2"/>
    <w:rsid w:val="009B5F69"/>
    <w:rsid w:val="009B6F17"/>
    <w:rsid w:val="009C0890"/>
    <w:rsid w:val="009C1031"/>
    <w:rsid w:val="009C13AB"/>
    <w:rsid w:val="009C1462"/>
    <w:rsid w:val="009C17D4"/>
    <w:rsid w:val="009C22A6"/>
    <w:rsid w:val="009C252D"/>
    <w:rsid w:val="009C404E"/>
    <w:rsid w:val="009C497C"/>
    <w:rsid w:val="009C4A51"/>
    <w:rsid w:val="009C7EF2"/>
    <w:rsid w:val="009D0D37"/>
    <w:rsid w:val="009D1479"/>
    <w:rsid w:val="009D3F3F"/>
    <w:rsid w:val="009D3FFD"/>
    <w:rsid w:val="009D4561"/>
    <w:rsid w:val="009D57EA"/>
    <w:rsid w:val="009D5E1E"/>
    <w:rsid w:val="009D6CB5"/>
    <w:rsid w:val="009D6D07"/>
    <w:rsid w:val="009D770D"/>
    <w:rsid w:val="009E0062"/>
    <w:rsid w:val="009E0102"/>
    <w:rsid w:val="009E04B8"/>
    <w:rsid w:val="009E1C2E"/>
    <w:rsid w:val="009E38C4"/>
    <w:rsid w:val="009E40A7"/>
    <w:rsid w:val="009E4D9D"/>
    <w:rsid w:val="009E6133"/>
    <w:rsid w:val="009E63CA"/>
    <w:rsid w:val="009E6A6C"/>
    <w:rsid w:val="009E7655"/>
    <w:rsid w:val="009F09B0"/>
    <w:rsid w:val="009F0E5A"/>
    <w:rsid w:val="009F1580"/>
    <w:rsid w:val="009F2390"/>
    <w:rsid w:val="009F38B1"/>
    <w:rsid w:val="009F3E5F"/>
    <w:rsid w:val="009F5682"/>
    <w:rsid w:val="009F574A"/>
    <w:rsid w:val="009F6D7D"/>
    <w:rsid w:val="00A01936"/>
    <w:rsid w:val="00A01C1E"/>
    <w:rsid w:val="00A01F16"/>
    <w:rsid w:val="00A026CC"/>
    <w:rsid w:val="00A037DC"/>
    <w:rsid w:val="00A04D9C"/>
    <w:rsid w:val="00A05AD6"/>
    <w:rsid w:val="00A05F5C"/>
    <w:rsid w:val="00A06EBE"/>
    <w:rsid w:val="00A0736F"/>
    <w:rsid w:val="00A10C0C"/>
    <w:rsid w:val="00A111E9"/>
    <w:rsid w:val="00A117D4"/>
    <w:rsid w:val="00A11DF3"/>
    <w:rsid w:val="00A12648"/>
    <w:rsid w:val="00A130FD"/>
    <w:rsid w:val="00A14517"/>
    <w:rsid w:val="00A1530A"/>
    <w:rsid w:val="00A15599"/>
    <w:rsid w:val="00A16641"/>
    <w:rsid w:val="00A17BFB"/>
    <w:rsid w:val="00A201C7"/>
    <w:rsid w:val="00A218F3"/>
    <w:rsid w:val="00A22753"/>
    <w:rsid w:val="00A25326"/>
    <w:rsid w:val="00A256B3"/>
    <w:rsid w:val="00A25911"/>
    <w:rsid w:val="00A25D48"/>
    <w:rsid w:val="00A25F6A"/>
    <w:rsid w:val="00A305FE"/>
    <w:rsid w:val="00A316F7"/>
    <w:rsid w:val="00A3249B"/>
    <w:rsid w:val="00A33008"/>
    <w:rsid w:val="00A3382D"/>
    <w:rsid w:val="00A339B3"/>
    <w:rsid w:val="00A34A58"/>
    <w:rsid w:val="00A3512C"/>
    <w:rsid w:val="00A3576C"/>
    <w:rsid w:val="00A367A0"/>
    <w:rsid w:val="00A37323"/>
    <w:rsid w:val="00A4039A"/>
    <w:rsid w:val="00A41D5D"/>
    <w:rsid w:val="00A4232A"/>
    <w:rsid w:val="00A42664"/>
    <w:rsid w:val="00A43127"/>
    <w:rsid w:val="00A43F9F"/>
    <w:rsid w:val="00A44A30"/>
    <w:rsid w:val="00A467A3"/>
    <w:rsid w:val="00A46E48"/>
    <w:rsid w:val="00A477A5"/>
    <w:rsid w:val="00A47A08"/>
    <w:rsid w:val="00A50E69"/>
    <w:rsid w:val="00A51188"/>
    <w:rsid w:val="00A52719"/>
    <w:rsid w:val="00A52F9C"/>
    <w:rsid w:val="00A534F9"/>
    <w:rsid w:val="00A5387E"/>
    <w:rsid w:val="00A54405"/>
    <w:rsid w:val="00A545DB"/>
    <w:rsid w:val="00A54656"/>
    <w:rsid w:val="00A54762"/>
    <w:rsid w:val="00A54D38"/>
    <w:rsid w:val="00A55BC5"/>
    <w:rsid w:val="00A56D68"/>
    <w:rsid w:val="00A56EDD"/>
    <w:rsid w:val="00A57305"/>
    <w:rsid w:val="00A60A8E"/>
    <w:rsid w:val="00A62EC8"/>
    <w:rsid w:val="00A63ADF"/>
    <w:rsid w:val="00A64302"/>
    <w:rsid w:val="00A64B40"/>
    <w:rsid w:val="00A6523D"/>
    <w:rsid w:val="00A65E8C"/>
    <w:rsid w:val="00A665E1"/>
    <w:rsid w:val="00A66986"/>
    <w:rsid w:val="00A674BC"/>
    <w:rsid w:val="00A67CF8"/>
    <w:rsid w:val="00A70764"/>
    <w:rsid w:val="00A714F9"/>
    <w:rsid w:val="00A72D0E"/>
    <w:rsid w:val="00A75566"/>
    <w:rsid w:val="00A76A96"/>
    <w:rsid w:val="00A76FFF"/>
    <w:rsid w:val="00A8201A"/>
    <w:rsid w:val="00A820C8"/>
    <w:rsid w:val="00A8453A"/>
    <w:rsid w:val="00A84F50"/>
    <w:rsid w:val="00A855CF"/>
    <w:rsid w:val="00A86646"/>
    <w:rsid w:val="00A87D5D"/>
    <w:rsid w:val="00A90EEE"/>
    <w:rsid w:val="00A92F9F"/>
    <w:rsid w:val="00A93525"/>
    <w:rsid w:val="00A94BB0"/>
    <w:rsid w:val="00A95C6B"/>
    <w:rsid w:val="00A963F3"/>
    <w:rsid w:val="00A96DBD"/>
    <w:rsid w:val="00AA1379"/>
    <w:rsid w:val="00AA1615"/>
    <w:rsid w:val="00AA5741"/>
    <w:rsid w:val="00AA5AE5"/>
    <w:rsid w:val="00AA6B8F"/>
    <w:rsid w:val="00AA6E8A"/>
    <w:rsid w:val="00AB112F"/>
    <w:rsid w:val="00AB2F8D"/>
    <w:rsid w:val="00AB3CEF"/>
    <w:rsid w:val="00AB49B8"/>
    <w:rsid w:val="00AB5862"/>
    <w:rsid w:val="00AB6497"/>
    <w:rsid w:val="00AB6E88"/>
    <w:rsid w:val="00AB75DB"/>
    <w:rsid w:val="00AC075C"/>
    <w:rsid w:val="00AC1319"/>
    <w:rsid w:val="00AC24AE"/>
    <w:rsid w:val="00AC2712"/>
    <w:rsid w:val="00AC4D12"/>
    <w:rsid w:val="00AC4E32"/>
    <w:rsid w:val="00AC5680"/>
    <w:rsid w:val="00AC64A5"/>
    <w:rsid w:val="00AC6D59"/>
    <w:rsid w:val="00AD033F"/>
    <w:rsid w:val="00AD0544"/>
    <w:rsid w:val="00AD0AFE"/>
    <w:rsid w:val="00AD208B"/>
    <w:rsid w:val="00AD2170"/>
    <w:rsid w:val="00AD2FB3"/>
    <w:rsid w:val="00AD3C31"/>
    <w:rsid w:val="00AD5062"/>
    <w:rsid w:val="00AD6502"/>
    <w:rsid w:val="00AD6663"/>
    <w:rsid w:val="00AD7669"/>
    <w:rsid w:val="00AE00DA"/>
    <w:rsid w:val="00AE103B"/>
    <w:rsid w:val="00AE1383"/>
    <w:rsid w:val="00AE297B"/>
    <w:rsid w:val="00AE7B20"/>
    <w:rsid w:val="00AF014E"/>
    <w:rsid w:val="00AF0A35"/>
    <w:rsid w:val="00AF1BBF"/>
    <w:rsid w:val="00AF252A"/>
    <w:rsid w:val="00AF33E4"/>
    <w:rsid w:val="00AF5662"/>
    <w:rsid w:val="00AF5F2A"/>
    <w:rsid w:val="00AF67B6"/>
    <w:rsid w:val="00AF7021"/>
    <w:rsid w:val="00AF728C"/>
    <w:rsid w:val="00B0210E"/>
    <w:rsid w:val="00B03269"/>
    <w:rsid w:val="00B03E5B"/>
    <w:rsid w:val="00B04789"/>
    <w:rsid w:val="00B04904"/>
    <w:rsid w:val="00B06278"/>
    <w:rsid w:val="00B063A2"/>
    <w:rsid w:val="00B06929"/>
    <w:rsid w:val="00B07852"/>
    <w:rsid w:val="00B10A67"/>
    <w:rsid w:val="00B113DD"/>
    <w:rsid w:val="00B11D26"/>
    <w:rsid w:val="00B12C3C"/>
    <w:rsid w:val="00B14643"/>
    <w:rsid w:val="00B156E0"/>
    <w:rsid w:val="00B15CE2"/>
    <w:rsid w:val="00B16E07"/>
    <w:rsid w:val="00B16FFE"/>
    <w:rsid w:val="00B2052D"/>
    <w:rsid w:val="00B20634"/>
    <w:rsid w:val="00B2181B"/>
    <w:rsid w:val="00B221ED"/>
    <w:rsid w:val="00B24FE8"/>
    <w:rsid w:val="00B26A4E"/>
    <w:rsid w:val="00B26CB9"/>
    <w:rsid w:val="00B276BC"/>
    <w:rsid w:val="00B30E9F"/>
    <w:rsid w:val="00B3122F"/>
    <w:rsid w:val="00B32901"/>
    <w:rsid w:val="00B32C8D"/>
    <w:rsid w:val="00B33034"/>
    <w:rsid w:val="00B34CA8"/>
    <w:rsid w:val="00B354CE"/>
    <w:rsid w:val="00B35D6B"/>
    <w:rsid w:val="00B402E5"/>
    <w:rsid w:val="00B416AB"/>
    <w:rsid w:val="00B420BF"/>
    <w:rsid w:val="00B42F12"/>
    <w:rsid w:val="00B43190"/>
    <w:rsid w:val="00B44EB7"/>
    <w:rsid w:val="00B50457"/>
    <w:rsid w:val="00B50A24"/>
    <w:rsid w:val="00B51A3F"/>
    <w:rsid w:val="00B522A5"/>
    <w:rsid w:val="00B531D6"/>
    <w:rsid w:val="00B5331D"/>
    <w:rsid w:val="00B53CF1"/>
    <w:rsid w:val="00B566EC"/>
    <w:rsid w:val="00B5728D"/>
    <w:rsid w:val="00B57318"/>
    <w:rsid w:val="00B6118B"/>
    <w:rsid w:val="00B61587"/>
    <w:rsid w:val="00B622A4"/>
    <w:rsid w:val="00B62ACA"/>
    <w:rsid w:val="00B62AF1"/>
    <w:rsid w:val="00B634D7"/>
    <w:rsid w:val="00B63C86"/>
    <w:rsid w:val="00B6421E"/>
    <w:rsid w:val="00B64344"/>
    <w:rsid w:val="00B6472F"/>
    <w:rsid w:val="00B64D36"/>
    <w:rsid w:val="00B64E78"/>
    <w:rsid w:val="00B6603C"/>
    <w:rsid w:val="00B66118"/>
    <w:rsid w:val="00B66B7C"/>
    <w:rsid w:val="00B67C65"/>
    <w:rsid w:val="00B70563"/>
    <w:rsid w:val="00B71EFA"/>
    <w:rsid w:val="00B72340"/>
    <w:rsid w:val="00B72520"/>
    <w:rsid w:val="00B726B1"/>
    <w:rsid w:val="00B72F35"/>
    <w:rsid w:val="00B7328F"/>
    <w:rsid w:val="00B732FB"/>
    <w:rsid w:val="00B742A8"/>
    <w:rsid w:val="00B743D4"/>
    <w:rsid w:val="00B750D1"/>
    <w:rsid w:val="00B75424"/>
    <w:rsid w:val="00B75F3A"/>
    <w:rsid w:val="00B7645E"/>
    <w:rsid w:val="00B76558"/>
    <w:rsid w:val="00B76607"/>
    <w:rsid w:val="00B766E0"/>
    <w:rsid w:val="00B815E5"/>
    <w:rsid w:val="00B81AB3"/>
    <w:rsid w:val="00B825E9"/>
    <w:rsid w:val="00B82B18"/>
    <w:rsid w:val="00B83D61"/>
    <w:rsid w:val="00B84481"/>
    <w:rsid w:val="00B850AA"/>
    <w:rsid w:val="00B853FA"/>
    <w:rsid w:val="00B86674"/>
    <w:rsid w:val="00B86B5C"/>
    <w:rsid w:val="00B878E5"/>
    <w:rsid w:val="00B903E2"/>
    <w:rsid w:val="00B92E30"/>
    <w:rsid w:val="00B935B9"/>
    <w:rsid w:val="00B93679"/>
    <w:rsid w:val="00B93F50"/>
    <w:rsid w:val="00B940B3"/>
    <w:rsid w:val="00B9418E"/>
    <w:rsid w:val="00B941E9"/>
    <w:rsid w:val="00B94711"/>
    <w:rsid w:val="00B94E1F"/>
    <w:rsid w:val="00B96699"/>
    <w:rsid w:val="00B96FA8"/>
    <w:rsid w:val="00B973C3"/>
    <w:rsid w:val="00BA01BE"/>
    <w:rsid w:val="00BA4D46"/>
    <w:rsid w:val="00BA502F"/>
    <w:rsid w:val="00BA50D4"/>
    <w:rsid w:val="00BA5677"/>
    <w:rsid w:val="00BA5B39"/>
    <w:rsid w:val="00BA747F"/>
    <w:rsid w:val="00BB0DAD"/>
    <w:rsid w:val="00BB170D"/>
    <w:rsid w:val="00BB2D98"/>
    <w:rsid w:val="00BB3838"/>
    <w:rsid w:val="00BB43BE"/>
    <w:rsid w:val="00BB443D"/>
    <w:rsid w:val="00BB48BB"/>
    <w:rsid w:val="00BB4E3C"/>
    <w:rsid w:val="00BB506C"/>
    <w:rsid w:val="00BB50EF"/>
    <w:rsid w:val="00BB55FB"/>
    <w:rsid w:val="00BB6C36"/>
    <w:rsid w:val="00BB760D"/>
    <w:rsid w:val="00BC1186"/>
    <w:rsid w:val="00BC16DC"/>
    <w:rsid w:val="00BC280D"/>
    <w:rsid w:val="00BC2CE0"/>
    <w:rsid w:val="00BC3841"/>
    <w:rsid w:val="00BC3CFD"/>
    <w:rsid w:val="00BC5289"/>
    <w:rsid w:val="00BC5472"/>
    <w:rsid w:val="00BC5C99"/>
    <w:rsid w:val="00BC72FB"/>
    <w:rsid w:val="00BD1291"/>
    <w:rsid w:val="00BD22B6"/>
    <w:rsid w:val="00BD2486"/>
    <w:rsid w:val="00BD26F4"/>
    <w:rsid w:val="00BD3622"/>
    <w:rsid w:val="00BD3732"/>
    <w:rsid w:val="00BD4251"/>
    <w:rsid w:val="00BD7B0F"/>
    <w:rsid w:val="00BE0B8A"/>
    <w:rsid w:val="00BE2DC9"/>
    <w:rsid w:val="00BE43BE"/>
    <w:rsid w:val="00BE464B"/>
    <w:rsid w:val="00BE4AE0"/>
    <w:rsid w:val="00BE4E25"/>
    <w:rsid w:val="00BE64B7"/>
    <w:rsid w:val="00BE6FAB"/>
    <w:rsid w:val="00BF187F"/>
    <w:rsid w:val="00BF18C4"/>
    <w:rsid w:val="00BF612F"/>
    <w:rsid w:val="00BF68FF"/>
    <w:rsid w:val="00BF6E0E"/>
    <w:rsid w:val="00BF6FC0"/>
    <w:rsid w:val="00BF7FD3"/>
    <w:rsid w:val="00C024A1"/>
    <w:rsid w:val="00C033E0"/>
    <w:rsid w:val="00C036D2"/>
    <w:rsid w:val="00C03844"/>
    <w:rsid w:val="00C042BB"/>
    <w:rsid w:val="00C046B9"/>
    <w:rsid w:val="00C04C28"/>
    <w:rsid w:val="00C04C78"/>
    <w:rsid w:val="00C05750"/>
    <w:rsid w:val="00C057C5"/>
    <w:rsid w:val="00C1037D"/>
    <w:rsid w:val="00C11814"/>
    <w:rsid w:val="00C11B54"/>
    <w:rsid w:val="00C136A1"/>
    <w:rsid w:val="00C17D70"/>
    <w:rsid w:val="00C21840"/>
    <w:rsid w:val="00C24678"/>
    <w:rsid w:val="00C246EB"/>
    <w:rsid w:val="00C2539C"/>
    <w:rsid w:val="00C26D13"/>
    <w:rsid w:val="00C274B9"/>
    <w:rsid w:val="00C274F5"/>
    <w:rsid w:val="00C30D97"/>
    <w:rsid w:val="00C31087"/>
    <w:rsid w:val="00C32F2C"/>
    <w:rsid w:val="00C34189"/>
    <w:rsid w:val="00C35B4B"/>
    <w:rsid w:val="00C36EA0"/>
    <w:rsid w:val="00C37687"/>
    <w:rsid w:val="00C400E4"/>
    <w:rsid w:val="00C41118"/>
    <w:rsid w:val="00C427B2"/>
    <w:rsid w:val="00C43723"/>
    <w:rsid w:val="00C4378F"/>
    <w:rsid w:val="00C43BEB"/>
    <w:rsid w:val="00C449AB"/>
    <w:rsid w:val="00C45669"/>
    <w:rsid w:val="00C45DCE"/>
    <w:rsid w:val="00C47BCB"/>
    <w:rsid w:val="00C50266"/>
    <w:rsid w:val="00C51968"/>
    <w:rsid w:val="00C51DC2"/>
    <w:rsid w:val="00C5324A"/>
    <w:rsid w:val="00C541CC"/>
    <w:rsid w:val="00C54464"/>
    <w:rsid w:val="00C555F2"/>
    <w:rsid w:val="00C55963"/>
    <w:rsid w:val="00C55BE2"/>
    <w:rsid w:val="00C617B6"/>
    <w:rsid w:val="00C62EEA"/>
    <w:rsid w:val="00C6321E"/>
    <w:rsid w:val="00C66340"/>
    <w:rsid w:val="00C66870"/>
    <w:rsid w:val="00C66911"/>
    <w:rsid w:val="00C66BD5"/>
    <w:rsid w:val="00C67AB2"/>
    <w:rsid w:val="00C713BF"/>
    <w:rsid w:val="00C7194E"/>
    <w:rsid w:val="00C7237F"/>
    <w:rsid w:val="00C72525"/>
    <w:rsid w:val="00C72770"/>
    <w:rsid w:val="00C732C4"/>
    <w:rsid w:val="00C73BBA"/>
    <w:rsid w:val="00C74E09"/>
    <w:rsid w:val="00C75785"/>
    <w:rsid w:val="00C7583B"/>
    <w:rsid w:val="00C76ACC"/>
    <w:rsid w:val="00C76D89"/>
    <w:rsid w:val="00C8096D"/>
    <w:rsid w:val="00C80B32"/>
    <w:rsid w:val="00C81B96"/>
    <w:rsid w:val="00C82A1B"/>
    <w:rsid w:val="00C83932"/>
    <w:rsid w:val="00C859CE"/>
    <w:rsid w:val="00C85B99"/>
    <w:rsid w:val="00C8631D"/>
    <w:rsid w:val="00C87097"/>
    <w:rsid w:val="00C87120"/>
    <w:rsid w:val="00C87BCF"/>
    <w:rsid w:val="00C87BD1"/>
    <w:rsid w:val="00C9061A"/>
    <w:rsid w:val="00C90AE9"/>
    <w:rsid w:val="00C91368"/>
    <w:rsid w:val="00C9236A"/>
    <w:rsid w:val="00C943E4"/>
    <w:rsid w:val="00C96060"/>
    <w:rsid w:val="00C96779"/>
    <w:rsid w:val="00C97051"/>
    <w:rsid w:val="00CA17B4"/>
    <w:rsid w:val="00CA2247"/>
    <w:rsid w:val="00CA28E8"/>
    <w:rsid w:val="00CA2AE4"/>
    <w:rsid w:val="00CA4B43"/>
    <w:rsid w:val="00CA53B1"/>
    <w:rsid w:val="00CA59AD"/>
    <w:rsid w:val="00CA5C08"/>
    <w:rsid w:val="00CA707F"/>
    <w:rsid w:val="00CA727D"/>
    <w:rsid w:val="00CB13B6"/>
    <w:rsid w:val="00CB15AC"/>
    <w:rsid w:val="00CB1B50"/>
    <w:rsid w:val="00CB2A15"/>
    <w:rsid w:val="00CB3552"/>
    <w:rsid w:val="00CB38F7"/>
    <w:rsid w:val="00CB4235"/>
    <w:rsid w:val="00CB469B"/>
    <w:rsid w:val="00CB577D"/>
    <w:rsid w:val="00CB7135"/>
    <w:rsid w:val="00CB71E4"/>
    <w:rsid w:val="00CB7A0B"/>
    <w:rsid w:val="00CC1D92"/>
    <w:rsid w:val="00CC2913"/>
    <w:rsid w:val="00CC2CC5"/>
    <w:rsid w:val="00CC2CCC"/>
    <w:rsid w:val="00CC4275"/>
    <w:rsid w:val="00CC7F66"/>
    <w:rsid w:val="00CD0B33"/>
    <w:rsid w:val="00CD1B05"/>
    <w:rsid w:val="00CD1B25"/>
    <w:rsid w:val="00CD1E4D"/>
    <w:rsid w:val="00CD202B"/>
    <w:rsid w:val="00CD250C"/>
    <w:rsid w:val="00CD27FC"/>
    <w:rsid w:val="00CD2C02"/>
    <w:rsid w:val="00CD311F"/>
    <w:rsid w:val="00CD3192"/>
    <w:rsid w:val="00CD4772"/>
    <w:rsid w:val="00CD52E8"/>
    <w:rsid w:val="00CD57B2"/>
    <w:rsid w:val="00CE1FD0"/>
    <w:rsid w:val="00CE2382"/>
    <w:rsid w:val="00CE34B3"/>
    <w:rsid w:val="00CE50AC"/>
    <w:rsid w:val="00CE763E"/>
    <w:rsid w:val="00CF427E"/>
    <w:rsid w:val="00CF5F27"/>
    <w:rsid w:val="00CF67A5"/>
    <w:rsid w:val="00CF7477"/>
    <w:rsid w:val="00D00FDE"/>
    <w:rsid w:val="00D01E66"/>
    <w:rsid w:val="00D02B6C"/>
    <w:rsid w:val="00D05569"/>
    <w:rsid w:val="00D05A63"/>
    <w:rsid w:val="00D07D3F"/>
    <w:rsid w:val="00D10D26"/>
    <w:rsid w:val="00D13841"/>
    <w:rsid w:val="00D1472E"/>
    <w:rsid w:val="00D15330"/>
    <w:rsid w:val="00D165BF"/>
    <w:rsid w:val="00D16F57"/>
    <w:rsid w:val="00D2031E"/>
    <w:rsid w:val="00D2247E"/>
    <w:rsid w:val="00D24A92"/>
    <w:rsid w:val="00D255E8"/>
    <w:rsid w:val="00D25909"/>
    <w:rsid w:val="00D27497"/>
    <w:rsid w:val="00D27C51"/>
    <w:rsid w:val="00D317C7"/>
    <w:rsid w:val="00D327D5"/>
    <w:rsid w:val="00D32CBA"/>
    <w:rsid w:val="00D33110"/>
    <w:rsid w:val="00D343EF"/>
    <w:rsid w:val="00D34DA5"/>
    <w:rsid w:val="00D359DB"/>
    <w:rsid w:val="00D36CD0"/>
    <w:rsid w:val="00D36DEB"/>
    <w:rsid w:val="00D37762"/>
    <w:rsid w:val="00D40746"/>
    <w:rsid w:val="00D408A2"/>
    <w:rsid w:val="00D40E1A"/>
    <w:rsid w:val="00D412D6"/>
    <w:rsid w:val="00D425B4"/>
    <w:rsid w:val="00D437B8"/>
    <w:rsid w:val="00D51B3E"/>
    <w:rsid w:val="00D51F5A"/>
    <w:rsid w:val="00D5345C"/>
    <w:rsid w:val="00D542F3"/>
    <w:rsid w:val="00D5499D"/>
    <w:rsid w:val="00D56A6A"/>
    <w:rsid w:val="00D57DE7"/>
    <w:rsid w:val="00D60269"/>
    <w:rsid w:val="00D615C1"/>
    <w:rsid w:val="00D61C01"/>
    <w:rsid w:val="00D61D12"/>
    <w:rsid w:val="00D62EC9"/>
    <w:rsid w:val="00D632C8"/>
    <w:rsid w:val="00D63DC6"/>
    <w:rsid w:val="00D658C9"/>
    <w:rsid w:val="00D6646D"/>
    <w:rsid w:val="00D66FDA"/>
    <w:rsid w:val="00D6773D"/>
    <w:rsid w:val="00D67B8D"/>
    <w:rsid w:val="00D71D1B"/>
    <w:rsid w:val="00D71E0C"/>
    <w:rsid w:val="00D72271"/>
    <w:rsid w:val="00D74C27"/>
    <w:rsid w:val="00D751A9"/>
    <w:rsid w:val="00D75DC2"/>
    <w:rsid w:val="00D76FAC"/>
    <w:rsid w:val="00D80E44"/>
    <w:rsid w:val="00D816CF"/>
    <w:rsid w:val="00D81C49"/>
    <w:rsid w:val="00D81CD4"/>
    <w:rsid w:val="00D830D0"/>
    <w:rsid w:val="00D840F5"/>
    <w:rsid w:val="00D8637B"/>
    <w:rsid w:val="00D86691"/>
    <w:rsid w:val="00D87813"/>
    <w:rsid w:val="00D87F2C"/>
    <w:rsid w:val="00D906B1"/>
    <w:rsid w:val="00D9084A"/>
    <w:rsid w:val="00D92103"/>
    <w:rsid w:val="00D94178"/>
    <w:rsid w:val="00D94B3C"/>
    <w:rsid w:val="00D94F27"/>
    <w:rsid w:val="00D957BE"/>
    <w:rsid w:val="00D95B54"/>
    <w:rsid w:val="00D95BEC"/>
    <w:rsid w:val="00D961EB"/>
    <w:rsid w:val="00DA13C5"/>
    <w:rsid w:val="00DA2864"/>
    <w:rsid w:val="00DA3684"/>
    <w:rsid w:val="00DA3B6E"/>
    <w:rsid w:val="00DA4A5C"/>
    <w:rsid w:val="00DA7B2B"/>
    <w:rsid w:val="00DB0A01"/>
    <w:rsid w:val="00DB1339"/>
    <w:rsid w:val="00DB393F"/>
    <w:rsid w:val="00DB4C3F"/>
    <w:rsid w:val="00DB56E3"/>
    <w:rsid w:val="00DB5C13"/>
    <w:rsid w:val="00DB5D14"/>
    <w:rsid w:val="00DB5D2B"/>
    <w:rsid w:val="00DB5F0F"/>
    <w:rsid w:val="00DB6587"/>
    <w:rsid w:val="00DB6E20"/>
    <w:rsid w:val="00DB790D"/>
    <w:rsid w:val="00DB79F4"/>
    <w:rsid w:val="00DC1F91"/>
    <w:rsid w:val="00DC29BE"/>
    <w:rsid w:val="00DC2BDD"/>
    <w:rsid w:val="00DC3C57"/>
    <w:rsid w:val="00DC4A77"/>
    <w:rsid w:val="00DC5D0B"/>
    <w:rsid w:val="00DC6368"/>
    <w:rsid w:val="00DC680F"/>
    <w:rsid w:val="00DD072F"/>
    <w:rsid w:val="00DD19C8"/>
    <w:rsid w:val="00DD41D5"/>
    <w:rsid w:val="00DD47CC"/>
    <w:rsid w:val="00DD5A98"/>
    <w:rsid w:val="00DD61A4"/>
    <w:rsid w:val="00DD6E15"/>
    <w:rsid w:val="00DD7D1F"/>
    <w:rsid w:val="00DE0E2E"/>
    <w:rsid w:val="00DE142D"/>
    <w:rsid w:val="00DE3CE6"/>
    <w:rsid w:val="00DE5D86"/>
    <w:rsid w:val="00DF1656"/>
    <w:rsid w:val="00DF18CC"/>
    <w:rsid w:val="00DF2843"/>
    <w:rsid w:val="00DF2BC6"/>
    <w:rsid w:val="00DF41B1"/>
    <w:rsid w:val="00DF558D"/>
    <w:rsid w:val="00DF73CE"/>
    <w:rsid w:val="00E00645"/>
    <w:rsid w:val="00E008DA"/>
    <w:rsid w:val="00E00FA6"/>
    <w:rsid w:val="00E017A5"/>
    <w:rsid w:val="00E01D7E"/>
    <w:rsid w:val="00E02872"/>
    <w:rsid w:val="00E03764"/>
    <w:rsid w:val="00E03F07"/>
    <w:rsid w:val="00E0442D"/>
    <w:rsid w:val="00E050D1"/>
    <w:rsid w:val="00E05202"/>
    <w:rsid w:val="00E05EF4"/>
    <w:rsid w:val="00E065F1"/>
    <w:rsid w:val="00E06AD1"/>
    <w:rsid w:val="00E07B3E"/>
    <w:rsid w:val="00E07C5C"/>
    <w:rsid w:val="00E10A9C"/>
    <w:rsid w:val="00E10F2C"/>
    <w:rsid w:val="00E11B96"/>
    <w:rsid w:val="00E14AAC"/>
    <w:rsid w:val="00E16F70"/>
    <w:rsid w:val="00E17322"/>
    <w:rsid w:val="00E21FDE"/>
    <w:rsid w:val="00E2329E"/>
    <w:rsid w:val="00E234ED"/>
    <w:rsid w:val="00E23C3D"/>
    <w:rsid w:val="00E23D3A"/>
    <w:rsid w:val="00E244C9"/>
    <w:rsid w:val="00E247B7"/>
    <w:rsid w:val="00E25184"/>
    <w:rsid w:val="00E3103C"/>
    <w:rsid w:val="00E3217B"/>
    <w:rsid w:val="00E322B0"/>
    <w:rsid w:val="00E331FE"/>
    <w:rsid w:val="00E37C8D"/>
    <w:rsid w:val="00E4069B"/>
    <w:rsid w:val="00E416CF"/>
    <w:rsid w:val="00E428B0"/>
    <w:rsid w:val="00E45272"/>
    <w:rsid w:val="00E453F4"/>
    <w:rsid w:val="00E4545B"/>
    <w:rsid w:val="00E459DA"/>
    <w:rsid w:val="00E45A98"/>
    <w:rsid w:val="00E45C7E"/>
    <w:rsid w:val="00E5290E"/>
    <w:rsid w:val="00E52B6C"/>
    <w:rsid w:val="00E52CCD"/>
    <w:rsid w:val="00E53625"/>
    <w:rsid w:val="00E53D62"/>
    <w:rsid w:val="00E53DF8"/>
    <w:rsid w:val="00E546E3"/>
    <w:rsid w:val="00E54D4E"/>
    <w:rsid w:val="00E60A59"/>
    <w:rsid w:val="00E6151A"/>
    <w:rsid w:val="00E61DF9"/>
    <w:rsid w:val="00E6233A"/>
    <w:rsid w:val="00E62DCF"/>
    <w:rsid w:val="00E63D7D"/>
    <w:rsid w:val="00E6428D"/>
    <w:rsid w:val="00E6581F"/>
    <w:rsid w:val="00E65B72"/>
    <w:rsid w:val="00E70793"/>
    <w:rsid w:val="00E70854"/>
    <w:rsid w:val="00E72C50"/>
    <w:rsid w:val="00E742DF"/>
    <w:rsid w:val="00E74F84"/>
    <w:rsid w:val="00E767D5"/>
    <w:rsid w:val="00E768A6"/>
    <w:rsid w:val="00E76B58"/>
    <w:rsid w:val="00E77B5C"/>
    <w:rsid w:val="00E80B1B"/>
    <w:rsid w:val="00E84F91"/>
    <w:rsid w:val="00E862ED"/>
    <w:rsid w:val="00E91572"/>
    <w:rsid w:val="00E92060"/>
    <w:rsid w:val="00E927A4"/>
    <w:rsid w:val="00E9307A"/>
    <w:rsid w:val="00E95C5D"/>
    <w:rsid w:val="00E96082"/>
    <w:rsid w:val="00E97751"/>
    <w:rsid w:val="00E9789A"/>
    <w:rsid w:val="00EA00E4"/>
    <w:rsid w:val="00EA13F8"/>
    <w:rsid w:val="00EA145D"/>
    <w:rsid w:val="00EA185B"/>
    <w:rsid w:val="00EA30CE"/>
    <w:rsid w:val="00EA3B97"/>
    <w:rsid w:val="00EA3CAF"/>
    <w:rsid w:val="00EA510F"/>
    <w:rsid w:val="00EB0017"/>
    <w:rsid w:val="00EB159F"/>
    <w:rsid w:val="00EB1C10"/>
    <w:rsid w:val="00EB3846"/>
    <w:rsid w:val="00EB3F87"/>
    <w:rsid w:val="00EB4387"/>
    <w:rsid w:val="00EB45A9"/>
    <w:rsid w:val="00EB4B5F"/>
    <w:rsid w:val="00EB512B"/>
    <w:rsid w:val="00EB643C"/>
    <w:rsid w:val="00EB7741"/>
    <w:rsid w:val="00EC061E"/>
    <w:rsid w:val="00EC2C76"/>
    <w:rsid w:val="00EC3580"/>
    <w:rsid w:val="00EC3989"/>
    <w:rsid w:val="00EC40A7"/>
    <w:rsid w:val="00EC45A1"/>
    <w:rsid w:val="00EC54C2"/>
    <w:rsid w:val="00EC5A9A"/>
    <w:rsid w:val="00EC622C"/>
    <w:rsid w:val="00EC62F1"/>
    <w:rsid w:val="00EC75D2"/>
    <w:rsid w:val="00EC7C78"/>
    <w:rsid w:val="00EC7D6C"/>
    <w:rsid w:val="00ED0D28"/>
    <w:rsid w:val="00ED1030"/>
    <w:rsid w:val="00ED1FEC"/>
    <w:rsid w:val="00ED25E7"/>
    <w:rsid w:val="00ED2829"/>
    <w:rsid w:val="00ED3861"/>
    <w:rsid w:val="00ED3D3C"/>
    <w:rsid w:val="00ED4D08"/>
    <w:rsid w:val="00ED746A"/>
    <w:rsid w:val="00ED7F59"/>
    <w:rsid w:val="00EE01B5"/>
    <w:rsid w:val="00EE02B8"/>
    <w:rsid w:val="00EE1787"/>
    <w:rsid w:val="00EE2849"/>
    <w:rsid w:val="00EE2F18"/>
    <w:rsid w:val="00EE3879"/>
    <w:rsid w:val="00EE4DE8"/>
    <w:rsid w:val="00EE527B"/>
    <w:rsid w:val="00EE789A"/>
    <w:rsid w:val="00EF1FCA"/>
    <w:rsid w:val="00EF239C"/>
    <w:rsid w:val="00EF4B34"/>
    <w:rsid w:val="00EF525C"/>
    <w:rsid w:val="00EF574E"/>
    <w:rsid w:val="00EF5ED1"/>
    <w:rsid w:val="00F035C5"/>
    <w:rsid w:val="00F03F61"/>
    <w:rsid w:val="00F04040"/>
    <w:rsid w:val="00F04786"/>
    <w:rsid w:val="00F04979"/>
    <w:rsid w:val="00F05581"/>
    <w:rsid w:val="00F07E46"/>
    <w:rsid w:val="00F102E2"/>
    <w:rsid w:val="00F106AB"/>
    <w:rsid w:val="00F14268"/>
    <w:rsid w:val="00F14558"/>
    <w:rsid w:val="00F14706"/>
    <w:rsid w:val="00F164F1"/>
    <w:rsid w:val="00F16ED6"/>
    <w:rsid w:val="00F20462"/>
    <w:rsid w:val="00F21459"/>
    <w:rsid w:val="00F21B92"/>
    <w:rsid w:val="00F22129"/>
    <w:rsid w:val="00F232B3"/>
    <w:rsid w:val="00F2386E"/>
    <w:rsid w:val="00F23CA2"/>
    <w:rsid w:val="00F240A6"/>
    <w:rsid w:val="00F24F1F"/>
    <w:rsid w:val="00F26533"/>
    <w:rsid w:val="00F26FD1"/>
    <w:rsid w:val="00F27C93"/>
    <w:rsid w:val="00F30A96"/>
    <w:rsid w:val="00F314AA"/>
    <w:rsid w:val="00F32EAB"/>
    <w:rsid w:val="00F34148"/>
    <w:rsid w:val="00F34AE4"/>
    <w:rsid w:val="00F35827"/>
    <w:rsid w:val="00F359F0"/>
    <w:rsid w:val="00F35B8A"/>
    <w:rsid w:val="00F36322"/>
    <w:rsid w:val="00F403D1"/>
    <w:rsid w:val="00F409D8"/>
    <w:rsid w:val="00F4249C"/>
    <w:rsid w:val="00F42599"/>
    <w:rsid w:val="00F42C57"/>
    <w:rsid w:val="00F43869"/>
    <w:rsid w:val="00F4626E"/>
    <w:rsid w:val="00F506CB"/>
    <w:rsid w:val="00F521A5"/>
    <w:rsid w:val="00F5263C"/>
    <w:rsid w:val="00F533B1"/>
    <w:rsid w:val="00F5608D"/>
    <w:rsid w:val="00F5788E"/>
    <w:rsid w:val="00F57F5A"/>
    <w:rsid w:val="00F60A1F"/>
    <w:rsid w:val="00F613A1"/>
    <w:rsid w:val="00F61D1E"/>
    <w:rsid w:val="00F63040"/>
    <w:rsid w:val="00F646D8"/>
    <w:rsid w:val="00F65108"/>
    <w:rsid w:val="00F65552"/>
    <w:rsid w:val="00F65CB4"/>
    <w:rsid w:val="00F660A5"/>
    <w:rsid w:val="00F666F8"/>
    <w:rsid w:val="00F67602"/>
    <w:rsid w:val="00F70040"/>
    <w:rsid w:val="00F703CD"/>
    <w:rsid w:val="00F704F3"/>
    <w:rsid w:val="00F7190A"/>
    <w:rsid w:val="00F729AD"/>
    <w:rsid w:val="00F738C7"/>
    <w:rsid w:val="00F73F49"/>
    <w:rsid w:val="00F74F52"/>
    <w:rsid w:val="00F7674D"/>
    <w:rsid w:val="00F76DD6"/>
    <w:rsid w:val="00F771F1"/>
    <w:rsid w:val="00F82762"/>
    <w:rsid w:val="00F828E0"/>
    <w:rsid w:val="00F82C16"/>
    <w:rsid w:val="00F82DC6"/>
    <w:rsid w:val="00F83399"/>
    <w:rsid w:val="00F83757"/>
    <w:rsid w:val="00F83C1D"/>
    <w:rsid w:val="00F840B0"/>
    <w:rsid w:val="00F84620"/>
    <w:rsid w:val="00F84D0D"/>
    <w:rsid w:val="00F8615E"/>
    <w:rsid w:val="00F862D3"/>
    <w:rsid w:val="00F8630B"/>
    <w:rsid w:val="00F86D3F"/>
    <w:rsid w:val="00F87499"/>
    <w:rsid w:val="00F904BE"/>
    <w:rsid w:val="00F90F03"/>
    <w:rsid w:val="00F9101F"/>
    <w:rsid w:val="00F92053"/>
    <w:rsid w:val="00F92779"/>
    <w:rsid w:val="00F93C6D"/>
    <w:rsid w:val="00F9421B"/>
    <w:rsid w:val="00F94E7C"/>
    <w:rsid w:val="00F95440"/>
    <w:rsid w:val="00F95638"/>
    <w:rsid w:val="00F95E94"/>
    <w:rsid w:val="00F9665F"/>
    <w:rsid w:val="00FA071E"/>
    <w:rsid w:val="00FA27EE"/>
    <w:rsid w:val="00FA301D"/>
    <w:rsid w:val="00FA413D"/>
    <w:rsid w:val="00FA4AF2"/>
    <w:rsid w:val="00FA4D69"/>
    <w:rsid w:val="00FA5586"/>
    <w:rsid w:val="00FA6DB8"/>
    <w:rsid w:val="00FB0D6E"/>
    <w:rsid w:val="00FB1164"/>
    <w:rsid w:val="00FB138E"/>
    <w:rsid w:val="00FB17FE"/>
    <w:rsid w:val="00FB1D26"/>
    <w:rsid w:val="00FB2F1B"/>
    <w:rsid w:val="00FB53C8"/>
    <w:rsid w:val="00FB5A99"/>
    <w:rsid w:val="00FB60A2"/>
    <w:rsid w:val="00FB7A80"/>
    <w:rsid w:val="00FB7ADC"/>
    <w:rsid w:val="00FB7D65"/>
    <w:rsid w:val="00FC06B0"/>
    <w:rsid w:val="00FC1A38"/>
    <w:rsid w:val="00FC4CA5"/>
    <w:rsid w:val="00FC5946"/>
    <w:rsid w:val="00FD0251"/>
    <w:rsid w:val="00FD09BF"/>
    <w:rsid w:val="00FD10BC"/>
    <w:rsid w:val="00FD1741"/>
    <w:rsid w:val="00FD2EB2"/>
    <w:rsid w:val="00FD3EC8"/>
    <w:rsid w:val="00FD528C"/>
    <w:rsid w:val="00FD5BEA"/>
    <w:rsid w:val="00FD65FE"/>
    <w:rsid w:val="00FD6723"/>
    <w:rsid w:val="00FD7076"/>
    <w:rsid w:val="00FD713A"/>
    <w:rsid w:val="00FD7BDB"/>
    <w:rsid w:val="00FE1559"/>
    <w:rsid w:val="00FE17C1"/>
    <w:rsid w:val="00FE3F20"/>
    <w:rsid w:val="00FE484E"/>
    <w:rsid w:val="00FE4FB2"/>
    <w:rsid w:val="00FE56A0"/>
    <w:rsid w:val="00FE5976"/>
    <w:rsid w:val="00FE6C41"/>
    <w:rsid w:val="00FE76AF"/>
    <w:rsid w:val="00FF1405"/>
    <w:rsid w:val="00FF202A"/>
    <w:rsid w:val="00FF3C9A"/>
    <w:rsid w:val="00FF3E60"/>
    <w:rsid w:val="00FF528D"/>
    <w:rsid w:val="00FF74AA"/>
    <w:rsid w:val="00FF757E"/>
    <w:rsid w:val="00FF7F72"/>
    <w:rsid w:val="01E12E0D"/>
    <w:rsid w:val="0518CECF"/>
    <w:rsid w:val="0592807E"/>
    <w:rsid w:val="069B76D3"/>
    <w:rsid w:val="08AE987A"/>
    <w:rsid w:val="0AC6DA88"/>
    <w:rsid w:val="0B138C2C"/>
    <w:rsid w:val="0EA688B8"/>
    <w:rsid w:val="154FC1AC"/>
    <w:rsid w:val="1730D969"/>
    <w:rsid w:val="17AE0BD1"/>
    <w:rsid w:val="1B405F08"/>
    <w:rsid w:val="2047420C"/>
    <w:rsid w:val="22738C10"/>
    <w:rsid w:val="237EE2CE"/>
    <w:rsid w:val="2C78C324"/>
    <w:rsid w:val="30D4B71C"/>
    <w:rsid w:val="3270877D"/>
    <w:rsid w:val="3273CB89"/>
    <w:rsid w:val="3299C68C"/>
    <w:rsid w:val="38E7B687"/>
    <w:rsid w:val="3A4FFDA1"/>
    <w:rsid w:val="3F56F80B"/>
    <w:rsid w:val="400F4431"/>
    <w:rsid w:val="4146F2E8"/>
    <w:rsid w:val="41534EED"/>
    <w:rsid w:val="461D6266"/>
    <w:rsid w:val="47A5D1EF"/>
    <w:rsid w:val="48FDDA51"/>
    <w:rsid w:val="4D4A75D5"/>
    <w:rsid w:val="4DAC9817"/>
    <w:rsid w:val="4E0035DF"/>
    <w:rsid w:val="504ED9A8"/>
    <w:rsid w:val="50B66B7C"/>
    <w:rsid w:val="55016A22"/>
    <w:rsid w:val="563FA6A9"/>
    <w:rsid w:val="56AADC7A"/>
    <w:rsid w:val="57DB770A"/>
    <w:rsid w:val="5A540CE3"/>
    <w:rsid w:val="5F9BD966"/>
    <w:rsid w:val="61ACF8F2"/>
    <w:rsid w:val="61F9ABF6"/>
    <w:rsid w:val="62ED6D89"/>
    <w:rsid w:val="660DF909"/>
    <w:rsid w:val="68A339ED"/>
    <w:rsid w:val="6B1DA855"/>
    <w:rsid w:val="6EC6D8BE"/>
    <w:rsid w:val="71843EB9"/>
    <w:rsid w:val="739A63EA"/>
    <w:rsid w:val="75832254"/>
    <w:rsid w:val="772D6076"/>
    <w:rsid w:val="78B8C049"/>
    <w:rsid w:val="7B86FC9F"/>
    <w:rsid w:val="7E22EC91"/>
    <w:rsid w:val="7E656D14"/>
    <w:rsid w:val="7EA71E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6BA198"/>
  <w15:docId w15:val="{3B6BD42F-7F6C-4A04-89E9-2BECED762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43547"/>
    <w:pPr>
      <w:tabs>
        <w:tab w:val="right" w:pos="9780"/>
      </w:tabs>
      <w:spacing w:after="120" w:line="300" w:lineRule="auto"/>
      <w:ind w:left="567"/>
    </w:pPr>
    <w:rPr>
      <w:rFonts w:ascii="Calibri" w:hAnsi="Calibri" w:cstheme="minorHAnsi"/>
      <w:color w:val="404040"/>
      <w:lang w:eastAsia="de-DE"/>
    </w:rPr>
  </w:style>
  <w:style w:type="paragraph" w:styleId="berschrift1">
    <w:name w:val="heading 1"/>
    <w:link w:val="berschrift1Zchn"/>
    <w:autoRedefine/>
    <w:uiPriority w:val="9"/>
    <w:qFormat/>
    <w:rsid w:val="00F102E2"/>
    <w:pPr>
      <w:keepNext/>
      <w:numPr>
        <w:numId w:val="2"/>
      </w:numPr>
      <w:spacing w:before="360"/>
      <w:outlineLvl w:val="0"/>
    </w:pPr>
    <w:rPr>
      <w:rFonts w:ascii="Calibri" w:hAnsi="Calibri" w:cstheme="minorHAnsi"/>
      <w:b/>
      <w:color w:val="F25022"/>
      <w:sz w:val="36"/>
      <w:szCs w:val="36"/>
      <w:lang w:eastAsia="de-DE"/>
    </w:rPr>
  </w:style>
  <w:style w:type="paragraph" w:styleId="berschrift2">
    <w:name w:val="heading 2"/>
    <w:next w:val="Standard"/>
    <w:link w:val="berschrift2Zchn"/>
    <w:autoRedefine/>
    <w:uiPriority w:val="9"/>
    <w:unhideWhenUsed/>
    <w:qFormat/>
    <w:rsid w:val="00D542F3"/>
    <w:pPr>
      <w:keepNext/>
      <w:numPr>
        <w:ilvl w:val="1"/>
        <w:numId w:val="2"/>
      </w:numPr>
      <w:spacing w:before="280" w:after="140"/>
      <w:outlineLvl w:val="1"/>
    </w:pPr>
    <w:rPr>
      <w:rFonts w:ascii="Calibri" w:hAnsi="Calibri" w:cs="Calibri"/>
      <w:b/>
      <w:color w:val="333333"/>
      <w:sz w:val="24"/>
      <w:szCs w:val="20"/>
      <w:lang w:eastAsia="de-DE"/>
    </w:rPr>
  </w:style>
  <w:style w:type="paragraph" w:styleId="berschrift3">
    <w:name w:val="heading 3"/>
    <w:next w:val="Standard"/>
    <w:link w:val="berschrift3Zchn"/>
    <w:autoRedefine/>
    <w:uiPriority w:val="9"/>
    <w:unhideWhenUsed/>
    <w:rsid w:val="00B113DD"/>
    <w:pPr>
      <w:keepNext/>
      <w:numPr>
        <w:ilvl w:val="2"/>
        <w:numId w:val="2"/>
      </w:numPr>
      <w:tabs>
        <w:tab w:val="right" w:pos="9780"/>
      </w:tabs>
      <w:spacing w:before="200" w:after="100"/>
      <w:outlineLvl w:val="2"/>
    </w:pPr>
    <w:rPr>
      <w:rFonts w:ascii="Calibri" w:hAnsi="Calibri" w:cstheme="minorHAnsi"/>
      <w:b/>
      <w:color w:val="333333"/>
      <w:sz w:val="24"/>
      <w:szCs w:val="24"/>
      <w:lang w:eastAsia="de-DE"/>
    </w:rPr>
  </w:style>
  <w:style w:type="paragraph" w:styleId="berschrift4">
    <w:name w:val="heading 4"/>
    <w:next w:val="Standard"/>
    <w:link w:val="berschrift4Zchn"/>
    <w:autoRedefine/>
    <w:uiPriority w:val="9"/>
    <w:unhideWhenUsed/>
    <w:rsid w:val="008F693F"/>
    <w:pPr>
      <w:numPr>
        <w:ilvl w:val="3"/>
        <w:numId w:val="2"/>
      </w:numPr>
      <w:tabs>
        <w:tab w:val="right" w:pos="9780"/>
      </w:tabs>
      <w:spacing w:before="200" w:after="120"/>
      <w:outlineLvl w:val="3"/>
    </w:pPr>
    <w:rPr>
      <w:rFonts w:cstheme="minorHAnsi"/>
      <w:b/>
      <w:sz w:val="24"/>
      <w:lang w:eastAsia="de-DE"/>
    </w:rPr>
  </w:style>
  <w:style w:type="paragraph" w:styleId="berschrift5">
    <w:name w:val="heading 5"/>
    <w:basedOn w:val="berschrift4"/>
    <w:next w:val="Standard"/>
    <w:link w:val="berschrift5Zchn"/>
    <w:autoRedefine/>
    <w:uiPriority w:val="9"/>
    <w:unhideWhenUsed/>
    <w:rsid w:val="00270F3C"/>
    <w:pPr>
      <w:numPr>
        <w:ilvl w:val="4"/>
      </w:numPr>
      <w:spacing w:after="0"/>
      <w:ind w:left="1134" w:hanging="1134"/>
      <w:outlineLvl w:val="4"/>
    </w:pPr>
    <w:rPr>
      <w:b w:val="0"/>
      <w:bCs/>
    </w:rPr>
  </w:style>
  <w:style w:type="paragraph" w:styleId="berschrift6">
    <w:name w:val="heading 6"/>
    <w:basedOn w:val="Standard"/>
    <w:next w:val="Standard"/>
    <w:link w:val="berschrift6Zchn"/>
    <w:uiPriority w:val="9"/>
    <w:semiHidden/>
    <w:unhideWhenUsed/>
    <w:qFormat/>
    <w:rsid w:val="00A545DB"/>
    <w:pPr>
      <w:keepNext/>
      <w:keepLines/>
      <w:numPr>
        <w:ilvl w:val="5"/>
        <w:numId w:val="2"/>
      </w:numPr>
      <w:spacing w:before="40"/>
      <w:outlineLvl w:val="5"/>
    </w:pPr>
    <w:rPr>
      <w:rFonts w:asciiTheme="majorHAnsi" w:eastAsiaTheme="majorEastAsia" w:hAnsiTheme="majorHAnsi" w:cstheme="majorBidi"/>
      <w:color w:val="243F60" w:themeColor="accent1" w:themeShade="7F"/>
    </w:rPr>
  </w:style>
  <w:style w:type="paragraph" w:styleId="berschrift7">
    <w:name w:val="heading 7"/>
    <w:basedOn w:val="Standard"/>
    <w:next w:val="Standard"/>
    <w:link w:val="berschrift7Zchn"/>
    <w:uiPriority w:val="9"/>
    <w:semiHidden/>
    <w:unhideWhenUsed/>
    <w:qFormat/>
    <w:rsid w:val="00A545DB"/>
    <w:pPr>
      <w:keepNext/>
      <w:keepLines/>
      <w:numPr>
        <w:ilvl w:val="6"/>
        <w:numId w:val="2"/>
      </w:numPr>
      <w:spacing w:before="40"/>
      <w:outlineLvl w:val="6"/>
    </w:pPr>
    <w:rPr>
      <w:rFonts w:asciiTheme="majorHAnsi" w:eastAsiaTheme="majorEastAsia" w:hAnsiTheme="majorHAnsi" w:cstheme="majorBidi"/>
      <w:i/>
      <w:iCs/>
      <w:color w:val="243F60" w:themeColor="accent1" w:themeShade="7F"/>
    </w:rPr>
  </w:style>
  <w:style w:type="paragraph" w:styleId="berschrift8">
    <w:name w:val="heading 8"/>
    <w:basedOn w:val="Standard"/>
    <w:next w:val="Standard"/>
    <w:link w:val="berschrift8Zchn"/>
    <w:uiPriority w:val="9"/>
    <w:semiHidden/>
    <w:unhideWhenUsed/>
    <w:qFormat/>
    <w:rsid w:val="00A545DB"/>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545DB"/>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C7C78"/>
    <w:pPr>
      <w:tabs>
        <w:tab w:val="center" w:pos="4536"/>
        <w:tab w:val="right" w:pos="9072"/>
      </w:tabs>
    </w:pPr>
  </w:style>
  <w:style w:type="character" w:customStyle="1" w:styleId="KopfzeileZchn">
    <w:name w:val="Kopfzeile Zchn"/>
    <w:basedOn w:val="Absatz-Standardschriftart"/>
    <w:link w:val="Kopfzeile"/>
    <w:uiPriority w:val="99"/>
    <w:rsid w:val="00EC7C78"/>
  </w:style>
  <w:style w:type="paragraph" w:styleId="Fuzeile">
    <w:name w:val="footer"/>
    <w:link w:val="FuzeileZchn"/>
    <w:uiPriority w:val="99"/>
    <w:unhideWhenUsed/>
    <w:rsid w:val="000E2430"/>
    <w:pPr>
      <w:tabs>
        <w:tab w:val="left" w:pos="2694"/>
        <w:tab w:val="left" w:pos="6379"/>
      </w:tabs>
      <w:ind w:left="680" w:hanging="113"/>
    </w:pPr>
    <w:rPr>
      <w:rFonts w:cstheme="minorHAnsi"/>
      <w:lang w:eastAsia="de-DE"/>
    </w:rPr>
  </w:style>
  <w:style w:type="character" w:customStyle="1" w:styleId="FuzeileZchn">
    <w:name w:val="Fußzeile Zchn"/>
    <w:basedOn w:val="Absatz-Standardschriftart"/>
    <w:link w:val="Fuzeile"/>
    <w:uiPriority w:val="99"/>
    <w:rsid w:val="000E2430"/>
    <w:rPr>
      <w:rFonts w:cstheme="minorHAnsi"/>
      <w:lang w:eastAsia="de-DE"/>
    </w:rPr>
  </w:style>
  <w:style w:type="character" w:styleId="Hyperlink">
    <w:name w:val="Hyperlink"/>
    <w:basedOn w:val="Absatz-Standardschriftart"/>
    <w:uiPriority w:val="99"/>
    <w:unhideWhenUsed/>
    <w:rsid w:val="00BA502F"/>
    <w:rPr>
      <w:color w:val="0000FF" w:themeColor="hyperlink"/>
      <w:u w:val="single"/>
    </w:rPr>
  </w:style>
  <w:style w:type="character" w:styleId="BesuchterLink">
    <w:name w:val="FollowedHyperlink"/>
    <w:basedOn w:val="Absatz-Standardschriftart"/>
    <w:uiPriority w:val="99"/>
    <w:semiHidden/>
    <w:unhideWhenUsed/>
    <w:rsid w:val="00BA502F"/>
    <w:rPr>
      <w:color w:val="800080" w:themeColor="followedHyperlink"/>
      <w:u w:val="single"/>
    </w:rPr>
  </w:style>
  <w:style w:type="table" w:styleId="Tabellenraster">
    <w:name w:val="Table Grid"/>
    <w:basedOn w:val="NormaleTabelle"/>
    <w:uiPriority w:val="39"/>
    <w:rsid w:val="00BC528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prechblasentext">
    <w:name w:val="Balloon Text"/>
    <w:basedOn w:val="Standard"/>
    <w:link w:val="SprechblasentextZchn"/>
    <w:uiPriority w:val="99"/>
    <w:semiHidden/>
    <w:unhideWhenUsed/>
    <w:rsid w:val="00EE02B8"/>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E02B8"/>
    <w:rPr>
      <w:rFonts w:ascii="Tahoma" w:hAnsi="Tahoma" w:cs="Tahoma"/>
      <w:sz w:val="16"/>
      <w:szCs w:val="16"/>
      <w:lang w:eastAsia="de-DE"/>
    </w:rPr>
  </w:style>
  <w:style w:type="paragraph" w:styleId="KeinLeerraum">
    <w:name w:val="No Spacing"/>
    <w:uiPriority w:val="1"/>
    <w:qFormat/>
    <w:rsid w:val="000D3677"/>
    <w:pPr>
      <w:spacing w:after="0" w:line="240" w:lineRule="auto"/>
    </w:pPr>
    <w:rPr>
      <w:rFonts w:ascii="Calibri" w:hAnsi="Calibri" w:cs="Calibri"/>
      <w:lang w:eastAsia="de-DE"/>
    </w:rPr>
  </w:style>
  <w:style w:type="character" w:customStyle="1" w:styleId="berschrift1Zchn">
    <w:name w:val="Überschrift 1 Zchn"/>
    <w:basedOn w:val="Absatz-Standardschriftart"/>
    <w:link w:val="berschrift1"/>
    <w:uiPriority w:val="9"/>
    <w:rsid w:val="00F102E2"/>
    <w:rPr>
      <w:rFonts w:cstheme="minorHAnsi"/>
      <w:b/>
      <w:color w:val="F25022"/>
      <w:sz w:val="36"/>
      <w:szCs w:val="36"/>
      <w:lang w:eastAsia="de-DE"/>
    </w:rPr>
  </w:style>
  <w:style w:type="character" w:customStyle="1" w:styleId="berschrift3Zchn">
    <w:name w:val="Überschrift 3 Zchn"/>
    <w:basedOn w:val="Absatz-Standardschriftart"/>
    <w:link w:val="berschrift3"/>
    <w:uiPriority w:val="9"/>
    <w:rsid w:val="00B113DD"/>
    <w:rPr>
      <w:rFonts w:cstheme="minorHAnsi"/>
      <w:b/>
      <w:sz w:val="24"/>
      <w:szCs w:val="24"/>
      <w:lang w:eastAsia="de-DE"/>
    </w:rPr>
  </w:style>
  <w:style w:type="character" w:customStyle="1" w:styleId="berschrift2Zchn">
    <w:name w:val="Überschrift 2 Zchn"/>
    <w:basedOn w:val="Absatz-Standardschriftart"/>
    <w:link w:val="berschrift2"/>
    <w:uiPriority w:val="9"/>
    <w:rsid w:val="00D542F3"/>
    <w:rPr>
      <w:rFonts w:ascii="Calibri" w:hAnsi="Calibri" w:cs="Calibri"/>
      <w:b/>
      <w:color w:val="333333"/>
      <w:sz w:val="24"/>
      <w:szCs w:val="20"/>
      <w:lang w:eastAsia="de-DE"/>
    </w:rPr>
  </w:style>
  <w:style w:type="paragraph" w:styleId="StandardWeb">
    <w:name w:val="Normal (Web)"/>
    <w:basedOn w:val="Standard"/>
    <w:uiPriority w:val="99"/>
    <w:semiHidden/>
    <w:unhideWhenUsed/>
    <w:rsid w:val="00BC72FB"/>
    <w:pPr>
      <w:spacing w:before="100" w:beforeAutospacing="1" w:after="100" w:afterAutospacing="1"/>
    </w:pPr>
    <w:rPr>
      <w:rFonts w:ascii="Times New Roman" w:eastAsia="Times New Roman" w:hAnsi="Times New Roman" w:cs="Times New Roman"/>
      <w:sz w:val="24"/>
      <w:szCs w:val="24"/>
    </w:rPr>
  </w:style>
  <w:style w:type="character" w:styleId="Kommentarzeichen">
    <w:name w:val="annotation reference"/>
    <w:basedOn w:val="Absatz-Standardschriftart"/>
    <w:uiPriority w:val="99"/>
    <w:semiHidden/>
    <w:unhideWhenUsed/>
    <w:rsid w:val="004750A0"/>
    <w:rPr>
      <w:sz w:val="16"/>
      <w:szCs w:val="16"/>
    </w:rPr>
  </w:style>
  <w:style w:type="paragraph" w:styleId="Kommentartext">
    <w:name w:val="annotation text"/>
    <w:basedOn w:val="Standard"/>
    <w:link w:val="KommentartextZchn"/>
    <w:uiPriority w:val="99"/>
    <w:unhideWhenUsed/>
    <w:rsid w:val="004750A0"/>
    <w:rPr>
      <w:sz w:val="20"/>
      <w:szCs w:val="20"/>
    </w:rPr>
  </w:style>
  <w:style w:type="character" w:customStyle="1" w:styleId="KommentartextZchn">
    <w:name w:val="Kommentartext Zchn"/>
    <w:basedOn w:val="Absatz-Standardschriftart"/>
    <w:link w:val="Kommentartext"/>
    <w:uiPriority w:val="99"/>
    <w:rsid w:val="004750A0"/>
    <w:rPr>
      <w:rFonts w:ascii="Calibri" w:hAnsi="Calibri" w:cs="Calibri"/>
      <w:sz w:val="20"/>
      <w:szCs w:val="20"/>
      <w:lang w:eastAsia="de-DE"/>
    </w:rPr>
  </w:style>
  <w:style w:type="paragraph" w:styleId="Kommentarthema">
    <w:name w:val="annotation subject"/>
    <w:basedOn w:val="Kommentartext"/>
    <w:next w:val="Kommentartext"/>
    <w:link w:val="KommentarthemaZchn"/>
    <w:uiPriority w:val="99"/>
    <w:semiHidden/>
    <w:unhideWhenUsed/>
    <w:rsid w:val="004750A0"/>
    <w:rPr>
      <w:b/>
      <w:bCs/>
    </w:rPr>
  </w:style>
  <w:style w:type="character" w:customStyle="1" w:styleId="KommentarthemaZchn">
    <w:name w:val="Kommentarthema Zchn"/>
    <w:basedOn w:val="KommentartextZchn"/>
    <w:link w:val="Kommentarthema"/>
    <w:uiPriority w:val="99"/>
    <w:semiHidden/>
    <w:rsid w:val="004750A0"/>
    <w:rPr>
      <w:rFonts w:ascii="Calibri" w:hAnsi="Calibri" w:cs="Calibri"/>
      <w:b/>
      <w:bCs/>
      <w:sz w:val="20"/>
      <w:szCs w:val="20"/>
      <w:lang w:eastAsia="de-DE"/>
    </w:rPr>
  </w:style>
  <w:style w:type="paragraph" w:styleId="Titel">
    <w:name w:val="Title"/>
    <w:basedOn w:val="Standard"/>
    <w:next w:val="Standard"/>
    <w:link w:val="TitelZchn"/>
    <w:uiPriority w:val="10"/>
    <w:qFormat/>
    <w:rsid w:val="004E2391"/>
    <w:pPr>
      <w:spacing w:before="4000"/>
      <w:contextualSpacing/>
    </w:pPr>
    <w:rPr>
      <w:rFonts w:eastAsiaTheme="majorEastAsia"/>
      <w:spacing w:val="-10"/>
      <w:kern w:val="28"/>
      <w:sz w:val="72"/>
      <w:szCs w:val="56"/>
    </w:rPr>
  </w:style>
  <w:style w:type="character" w:customStyle="1" w:styleId="TitelZchn">
    <w:name w:val="Titel Zchn"/>
    <w:basedOn w:val="Absatz-Standardschriftart"/>
    <w:link w:val="Titel"/>
    <w:uiPriority w:val="10"/>
    <w:rsid w:val="004E2391"/>
    <w:rPr>
      <w:rFonts w:eastAsiaTheme="majorEastAsia" w:cstheme="minorHAnsi"/>
      <w:spacing w:val="-10"/>
      <w:kern w:val="28"/>
      <w:sz w:val="72"/>
      <w:szCs w:val="56"/>
      <w:lang w:eastAsia="de-DE"/>
    </w:rPr>
  </w:style>
  <w:style w:type="paragraph" w:styleId="Untertitel">
    <w:name w:val="Subtitle"/>
    <w:basedOn w:val="Standard"/>
    <w:next w:val="Standard"/>
    <w:link w:val="UntertitelZchn"/>
    <w:uiPriority w:val="11"/>
    <w:qFormat/>
    <w:rsid w:val="004E2391"/>
    <w:pPr>
      <w:numPr>
        <w:ilvl w:val="1"/>
      </w:numPr>
      <w:spacing w:before="400" w:after="160"/>
      <w:ind w:left="1134"/>
    </w:pPr>
    <w:rPr>
      <w:rFonts w:eastAsiaTheme="minorEastAsia" w:cstheme="minorBidi"/>
      <w:color w:val="5A5A5A" w:themeColor="text1" w:themeTint="A5"/>
      <w:spacing w:val="15"/>
      <w:sz w:val="56"/>
    </w:rPr>
  </w:style>
  <w:style w:type="character" w:customStyle="1" w:styleId="UntertitelZchn">
    <w:name w:val="Untertitel Zchn"/>
    <w:basedOn w:val="Absatz-Standardschriftart"/>
    <w:link w:val="Untertitel"/>
    <w:uiPriority w:val="11"/>
    <w:rsid w:val="004E2391"/>
    <w:rPr>
      <w:rFonts w:eastAsiaTheme="minorEastAsia"/>
      <w:color w:val="5A5A5A" w:themeColor="text1" w:themeTint="A5"/>
      <w:spacing w:val="15"/>
      <w:sz w:val="56"/>
      <w:lang w:eastAsia="de-DE"/>
    </w:rPr>
  </w:style>
  <w:style w:type="paragraph" w:styleId="Listenabsatz">
    <w:name w:val="List Paragraph"/>
    <w:basedOn w:val="Standard"/>
    <w:uiPriority w:val="34"/>
    <w:qFormat/>
    <w:rsid w:val="000004C8"/>
    <w:pPr>
      <w:numPr>
        <w:numId w:val="1"/>
      </w:numPr>
      <w:spacing w:after="80"/>
      <w:ind w:left="540" w:hanging="271"/>
      <w:contextualSpacing/>
    </w:pPr>
  </w:style>
  <w:style w:type="paragraph" w:customStyle="1" w:styleId="Inhaltsverzeichnis">
    <w:name w:val="Inhaltsverzeichnis"/>
    <w:basedOn w:val="Standard"/>
    <w:qFormat/>
    <w:rsid w:val="001B75D3"/>
  </w:style>
  <w:style w:type="character" w:customStyle="1" w:styleId="berschrift4Zchn">
    <w:name w:val="Überschrift 4 Zchn"/>
    <w:basedOn w:val="Absatz-Standardschriftart"/>
    <w:link w:val="berschrift4"/>
    <w:uiPriority w:val="9"/>
    <w:rsid w:val="008F693F"/>
    <w:rPr>
      <w:rFonts w:cstheme="minorHAnsi"/>
      <w:b/>
      <w:sz w:val="24"/>
      <w:lang w:eastAsia="de-DE"/>
    </w:rPr>
  </w:style>
  <w:style w:type="character" w:customStyle="1" w:styleId="berschrift5Zchn">
    <w:name w:val="Überschrift 5 Zchn"/>
    <w:basedOn w:val="Absatz-Standardschriftart"/>
    <w:link w:val="berschrift5"/>
    <w:uiPriority w:val="9"/>
    <w:rsid w:val="00270F3C"/>
    <w:rPr>
      <w:rFonts w:cstheme="minorHAnsi"/>
      <w:bCs/>
      <w:sz w:val="24"/>
      <w:lang w:eastAsia="de-DE"/>
    </w:rPr>
  </w:style>
  <w:style w:type="character" w:customStyle="1" w:styleId="berschrift6Zchn">
    <w:name w:val="Überschrift 6 Zchn"/>
    <w:basedOn w:val="Absatz-Standardschriftart"/>
    <w:link w:val="berschrift6"/>
    <w:uiPriority w:val="9"/>
    <w:semiHidden/>
    <w:rsid w:val="00A545DB"/>
    <w:rPr>
      <w:rFonts w:asciiTheme="majorHAnsi" w:eastAsiaTheme="majorEastAsia" w:hAnsiTheme="majorHAnsi" w:cstheme="majorBidi"/>
      <w:color w:val="243F60" w:themeColor="accent1" w:themeShade="7F"/>
      <w:lang w:eastAsia="de-DE"/>
    </w:rPr>
  </w:style>
  <w:style w:type="character" w:customStyle="1" w:styleId="berschrift7Zchn">
    <w:name w:val="Überschrift 7 Zchn"/>
    <w:basedOn w:val="Absatz-Standardschriftart"/>
    <w:link w:val="berschrift7"/>
    <w:uiPriority w:val="9"/>
    <w:semiHidden/>
    <w:rsid w:val="00A545DB"/>
    <w:rPr>
      <w:rFonts w:asciiTheme="majorHAnsi" w:eastAsiaTheme="majorEastAsia" w:hAnsiTheme="majorHAnsi" w:cstheme="majorBidi"/>
      <w:i/>
      <w:iCs/>
      <w:color w:val="243F60" w:themeColor="accent1" w:themeShade="7F"/>
      <w:lang w:eastAsia="de-DE"/>
    </w:rPr>
  </w:style>
  <w:style w:type="character" w:customStyle="1" w:styleId="berschrift8Zchn">
    <w:name w:val="Überschrift 8 Zchn"/>
    <w:basedOn w:val="Absatz-Standardschriftart"/>
    <w:link w:val="berschrift8"/>
    <w:uiPriority w:val="9"/>
    <w:semiHidden/>
    <w:rsid w:val="00A545DB"/>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uiPriority w:val="9"/>
    <w:semiHidden/>
    <w:rsid w:val="00A545DB"/>
    <w:rPr>
      <w:rFonts w:asciiTheme="majorHAnsi" w:eastAsiaTheme="majorEastAsia" w:hAnsiTheme="majorHAnsi" w:cstheme="majorBidi"/>
      <w:i/>
      <w:iCs/>
      <w:color w:val="272727" w:themeColor="text1" w:themeTint="D8"/>
      <w:sz w:val="21"/>
      <w:szCs w:val="21"/>
      <w:lang w:eastAsia="de-DE"/>
    </w:rPr>
  </w:style>
  <w:style w:type="paragraph" w:styleId="Verzeichnis1">
    <w:name w:val="toc 1"/>
    <w:basedOn w:val="Standard"/>
    <w:next w:val="Standard"/>
    <w:autoRedefine/>
    <w:uiPriority w:val="39"/>
    <w:unhideWhenUsed/>
    <w:rsid w:val="004475B0"/>
    <w:pPr>
      <w:tabs>
        <w:tab w:val="clear" w:pos="9780"/>
        <w:tab w:val="left" w:pos="1276"/>
        <w:tab w:val="right" w:pos="9770"/>
      </w:tabs>
      <w:spacing w:after="100"/>
    </w:pPr>
    <w:rPr>
      <w:b/>
      <w:bCs/>
      <w:noProof/>
      <w:color w:val="F25022"/>
      <w:sz w:val="20"/>
    </w:rPr>
  </w:style>
  <w:style w:type="paragraph" w:styleId="Verzeichnis2">
    <w:name w:val="toc 2"/>
    <w:basedOn w:val="Standard"/>
    <w:next w:val="Standard"/>
    <w:autoRedefine/>
    <w:uiPriority w:val="39"/>
    <w:unhideWhenUsed/>
    <w:rsid w:val="007A16DA"/>
    <w:pPr>
      <w:tabs>
        <w:tab w:val="clear" w:pos="9780"/>
        <w:tab w:val="left" w:pos="1560"/>
        <w:tab w:val="right" w:pos="9770"/>
      </w:tabs>
      <w:spacing w:after="100"/>
    </w:pPr>
    <w:rPr>
      <w:sz w:val="20"/>
    </w:rPr>
  </w:style>
  <w:style w:type="paragraph" w:styleId="berarbeitung">
    <w:name w:val="Revision"/>
    <w:hidden/>
    <w:uiPriority w:val="99"/>
    <w:semiHidden/>
    <w:rsid w:val="00B063A2"/>
    <w:pPr>
      <w:spacing w:after="0" w:line="240" w:lineRule="auto"/>
    </w:pPr>
    <w:rPr>
      <w:rFonts w:cstheme="minorHAnsi"/>
      <w:lang w:eastAsia="de-DE"/>
    </w:rPr>
  </w:style>
  <w:style w:type="character" w:styleId="Erwhnung">
    <w:name w:val="Mention"/>
    <w:basedOn w:val="Absatz-Standardschriftart"/>
    <w:uiPriority w:val="99"/>
    <w:unhideWhenUsed/>
    <w:rPr>
      <w:color w:val="2B579A"/>
      <w:shd w:val="clear" w:color="auto" w:fill="E6E6E6"/>
    </w:rPr>
  </w:style>
  <w:style w:type="paragraph" w:styleId="Funotentext">
    <w:name w:val="footnote text"/>
    <w:basedOn w:val="Standard"/>
    <w:link w:val="FunotentextZchn"/>
    <w:uiPriority w:val="99"/>
    <w:semiHidden/>
    <w:unhideWhenUsed/>
    <w:rsid w:val="000E7599"/>
    <w:pPr>
      <w:spacing w:after="0"/>
    </w:pPr>
    <w:rPr>
      <w:sz w:val="20"/>
      <w:szCs w:val="20"/>
    </w:rPr>
  </w:style>
  <w:style w:type="character" w:customStyle="1" w:styleId="FunotentextZchn">
    <w:name w:val="Fußnotentext Zchn"/>
    <w:basedOn w:val="Absatz-Standardschriftart"/>
    <w:link w:val="Funotentext"/>
    <w:uiPriority w:val="99"/>
    <w:semiHidden/>
    <w:rsid w:val="000E7599"/>
    <w:rPr>
      <w:rFonts w:cstheme="minorHAnsi"/>
      <w:sz w:val="20"/>
      <w:szCs w:val="20"/>
      <w:lang w:eastAsia="de-DE"/>
    </w:rPr>
  </w:style>
  <w:style w:type="character" w:styleId="Funotenzeichen">
    <w:name w:val="footnote reference"/>
    <w:basedOn w:val="Absatz-Standardschriftart"/>
    <w:uiPriority w:val="99"/>
    <w:semiHidden/>
    <w:unhideWhenUsed/>
    <w:rsid w:val="000E7599"/>
    <w:rPr>
      <w:vertAlign w:val="superscript"/>
    </w:rPr>
  </w:style>
  <w:style w:type="paragraph" w:styleId="Endnotentext">
    <w:name w:val="endnote text"/>
    <w:basedOn w:val="Standard"/>
    <w:link w:val="EndnotentextZchn"/>
    <w:uiPriority w:val="99"/>
    <w:semiHidden/>
    <w:unhideWhenUsed/>
    <w:rsid w:val="00A93525"/>
    <w:pPr>
      <w:spacing w:after="0"/>
    </w:pPr>
    <w:rPr>
      <w:sz w:val="20"/>
      <w:szCs w:val="20"/>
    </w:rPr>
  </w:style>
  <w:style w:type="character" w:customStyle="1" w:styleId="EndnotentextZchn">
    <w:name w:val="Endnotentext Zchn"/>
    <w:basedOn w:val="Absatz-Standardschriftart"/>
    <w:link w:val="Endnotentext"/>
    <w:uiPriority w:val="99"/>
    <w:semiHidden/>
    <w:rsid w:val="00A93525"/>
    <w:rPr>
      <w:rFonts w:cstheme="minorHAnsi"/>
      <w:sz w:val="20"/>
      <w:szCs w:val="20"/>
      <w:lang w:eastAsia="de-DE"/>
    </w:rPr>
  </w:style>
  <w:style w:type="character" w:styleId="Endnotenzeichen">
    <w:name w:val="endnote reference"/>
    <w:basedOn w:val="Absatz-Standardschriftart"/>
    <w:uiPriority w:val="99"/>
    <w:semiHidden/>
    <w:unhideWhenUsed/>
    <w:rsid w:val="00A93525"/>
    <w:rPr>
      <w:vertAlign w:val="superscript"/>
    </w:rPr>
  </w:style>
  <w:style w:type="character" w:styleId="NichtaufgelsteErwhnung">
    <w:name w:val="Unresolved Mention"/>
    <w:basedOn w:val="Absatz-Standardschriftart"/>
    <w:uiPriority w:val="99"/>
    <w:semiHidden/>
    <w:unhideWhenUsed/>
    <w:rsid w:val="00D66FDA"/>
    <w:rPr>
      <w:color w:val="605E5C"/>
      <w:shd w:val="clear" w:color="auto" w:fill="E1DFDD"/>
    </w:rPr>
  </w:style>
  <w:style w:type="paragraph" w:customStyle="1" w:styleId="SmallNote">
    <w:name w:val="Small Note"/>
    <w:pPr>
      <w:spacing w:after="60" w:line="264" w:lineRule="auto"/>
    </w:pPr>
    <w:rPr>
      <w:rFonts w:ascii="Calibri" w:hAnsi="Calibri"/>
      <w:color w:val="66666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152932">
      <w:bodyDiv w:val="1"/>
      <w:marLeft w:val="0"/>
      <w:marRight w:val="0"/>
      <w:marTop w:val="0"/>
      <w:marBottom w:val="0"/>
      <w:divBdr>
        <w:top w:val="none" w:sz="0" w:space="0" w:color="auto"/>
        <w:left w:val="none" w:sz="0" w:space="0" w:color="auto"/>
        <w:bottom w:val="none" w:sz="0" w:space="0" w:color="auto"/>
        <w:right w:val="none" w:sz="0" w:space="0" w:color="auto"/>
      </w:divBdr>
      <w:divsChild>
        <w:div w:id="1999722832">
          <w:marLeft w:val="0"/>
          <w:marRight w:val="0"/>
          <w:marTop w:val="0"/>
          <w:marBottom w:val="300"/>
          <w:divBdr>
            <w:top w:val="none" w:sz="0" w:space="0" w:color="auto"/>
            <w:left w:val="none" w:sz="0" w:space="0" w:color="auto"/>
            <w:bottom w:val="none" w:sz="0" w:space="0" w:color="auto"/>
            <w:right w:val="none" w:sz="0" w:space="0" w:color="auto"/>
          </w:divBdr>
          <w:divsChild>
            <w:div w:id="1815830551">
              <w:marLeft w:val="0"/>
              <w:marRight w:val="0"/>
              <w:marTop w:val="0"/>
              <w:marBottom w:val="0"/>
              <w:divBdr>
                <w:top w:val="none" w:sz="0" w:space="0" w:color="auto"/>
                <w:left w:val="none" w:sz="0" w:space="0" w:color="auto"/>
                <w:bottom w:val="none" w:sz="0" w:space="0" w:color="auto"/>
                <w:right w:val="none" w:sz="0" w:space="0" w:color="auto"/>
              </w:divBdr>
              <w:divsChild>
                <w:div w:id="681469765">
                  <w:marLeft w:val="-240"/>
                  <w:marRight w:val="240"/>
                  <w:marTop w:val="0"/>
                  <w:marBottom w:val="0"/>
                  <w:divBdr>
                    <w:top w:val="none" w:sz="0" w:space="0" w:color="auto"/>
                    <w:left w:val="none" w:sz="0" w:space="0" w:color="auto"/>
                    <w:bottom w:val="none" w:sz="0" w:space="0" w:color="auto"/>
                    <w:right w:val="none" w:sz="0" w:space="0" w:color="auto"/>
                  </w:divBdr>
                  <w:divsChild>
                    <w:div w:id="276571668">
                      <w:marLeft w:val="240"/>
                      <w:marRight w:val="240"/>
                      <w:marTop w:val="188"/>
                      <w:marBottom w:val="188"/>
                      <w:divBdr>
                        <w:top w:val="none" w:sz="0" w:space="0" w:color="auto"/>
                        <w:left w:val="none" w:sz="0" w:space="0" w:color="auto"/>
                        <w:bottom w:val="none" w:sz="0" w:space="0" w:color="auto"/>
                        <w:right w:val="none" w:sz="0" w:space="0" w:color="auto"/>
                      </w:divBdr>
                      <w:divsChild>
                        <w:div w:id="2089616938">
                          <w:marLeft w:val="0"/>
                          <w:marRight w:val="0"/>
                          <w:marTop w:val="0"/>
                          <w:marBottom w:val="0"/>
                          <w:divBdr>
                            <w:top w:val="none" w:sz="0" w:space="0" w:color="auto"/>
                            <w:left w:val="none" w:sz="0" w:space="0" w:color="auto"/>
                            <w:bottom w:val="none" w:sz="0" w:space="0" w:color="auto"/>
                            <w:right w:val="none" w:sz="0" w:space="0" w:color="auto"/>
                          </w:divBdr>
                          <w:divsChild>
                            <w:div w:id="639847346">
                              <w:marLeft w:val="0"/>
                              <w:marRight w:val="0"/>
                              <w:marTop w:val="0"/>
                              <w:marBottom w:val="75"/>
                              <w:divBdr>
                                <w:top w:val="none" w:sz="0" w:space="0" w:color="auto"/>
                                <w:left w:val="none" w:sz="0" w:space="0" w:color="auto"/>
                                <w:bottom w:val="none" w:sz="0" w:space="0" w:color="auto"/>
                                <w:right w:val="none" w:sz="0" w:space="0" w:color="auto"/>
                              </w:divBdr>
                            </w:div>
                            <w:div w:id="1197694102">
                              <w:marLeft w:val="0"/>
                              <w:marRight w:val="0"/>
                              <w:marTop w:val="0"/>
                              <w:marBottom w:val="75"/>
                              <w:divBdr>
                                <w:top w:val="none" w:sz="0" w:space="0" w:color="auto"/>
                                <w:left w:val="none" w:sz="0" w:space="0" w:color="auto"/>
                                <w:bottom w:val="none" w:sz="0" w:space="0" w:color="auto"/>
                                <w:right w:val="none" w:sz="0" w:space="0" w:color="auto"/>
                              </w:divBdr>
                              <w:divsChild>
                                <w:div w:id="213563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12015">
                      <w:marLeft w:val="240"/>
                      <w:marRight w:val="240"/>
                      <w:marTop w:val="188"/>
                      <w:marBottom w:val="188"/>
                      <w:divBdr>
                        <w:top w:val="none" w:sz="0" w:space="0" w:color="auto"/>
                        <w:left w:val="none" w:sz="0" w:space="0" w:color="auto"/>
                        <w:bottom w:val="none" w:sz="0" w:space="0" w:color="auto"/>
                        <w:right w:val="none" w:sz="0" w:space="0" w:color="auto"/>
                      </w:divBdr>
                      <w:divsChild>
                        <w:div w:id="140316217">
                          <w:marLeft w:val="0"/>
                          <w:marRight w:val="0"/>
                          <w:marTop w:val="0"/>
                          <w:marBottom w:val="0"/>
                          <w:divBdr>
                            <w:top w:val="none" w:sz="0" w:space="0" w:color="auto"/>
                            <w:left w:val="none" w:sz="0" w:space="0" w:color="auto"/>
                            <w:bottom w:val="none" w:sz="0" w:space="0" w:color="auto"/>
                            <w:right w:val="none" w:sz="0" w:space="0" w:color="auto"/>
                          </w:divBdr>
                          <w:divsChild>
                            <w:div w:id="14693717">
                              <w:marLeft w:val="0"/>
                              <w:marRight w:val="0"/>
                              <w:marTop w:val="0"/>
                              <w:marBottom w:val="75"/>
                              <w:divBdr>
                                <w:top w:val="none" w:sz="0" w:space="0" w:color="auto"/>
                                <w:left w:val="none" w:sz="0" w:space="0" w:color="auto"/>
                                <w:bottom w:val="none" w:sz="0" w:space="0" w:color="auto"/>
                                <w:right w:val="none" w:sz="0" w:space="0" w:color="auto"/>
                              </w:divBdr>
                              <w:divsChild>
                                <w:div w:id="1970014949">
                                  <w:marLeft w:val="0"/>
                                  <w:marRight w:val="0"/>
                                  <w:marTop w:val="0"/>
                                  <w:marBottom w:val="0"/>
                                  <w:divBdr>
                                    <w:top w:val="none" w:sz="0" w:space="0" w:color="auto"/>
                                    <w:left w:val="none" w:sz="0" w:space="0" w:color="auto"/>
                                    <w:bottom w:val="none" w:sz="0" w:space="0" w:color="auto"/>
                                    <w:right w:val="none" w:sz="0" w:space="0" w:color="auto"/>
                                  </w:divBdr>
                                </w:div>
                              </w:divsChild>
                            </w:div>
                            <w:div w:id="152713368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95776098">
                      <w:marLeft w:val="240"/>
                      <w:marRight w:val="240"/>
                      <w:marTop w:val="188"/>
                      <w:marBottom w:val="188"/>
                      <w:divBdr>
                        <w:top w:val="none" w:sz="0" w:space="0" w:color="auto"/>
                        <w:left w:val="none" w:sz="0" w:space="0" w:color="auto"/>
                        <w:bottom w:val="none" w:sz="0" w:space="0" w:color="auto"/>
                        <w:right w:val="none" w:sz="0" w:space="0" w:color="auto"/>
                      </w:divBdr>
                      <w:divsChild>
                        <w:div w:id="1331520632">
                          <w:marLeft w:val="0"/>
                          <w:marRight w:val="0"/>
                          <w:marTop w:val="0"/>
                          <w:marBottom w:val="0"/>
                          <w:divBdr>
                            <w:top w:val="none" w:sz="0" w:space="0" w:color="auto"/>
                            <w:left w:val="none" w:sz="0" w:space="0" w:color="auto"/>
                            <w:bottom w:val="none" w:sz="0" w:space="0" w:color="auto"/>
                            <w:right w:val="none" w:sz="0" w:space="0" w:color="auto"/>
                          </w:divBdr>
                          <w:divsChild>
                            <w:div w:id="871193472">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939219596">
                      <w:marLeft w:val="240"/>
                      <w:marRight w:val="240"/>
                      <w:marTop w:val="188"/>
                      <w:marBottom w:val="188"/>
                      <w:divBdr>
                        <w:top w:val="none" w:sz="0" w:space="0" w:color="auto"/>
                        <w:left w:val="none" w:sz="0" w:space="0" w:color="auto"/>
                        <w:bottom w:val="none" w:sz="0" w:space="0" w:color="auto"/>
                        <w:right w:val="none" w:sz="0" w:space="0" w:color="auto"/>
                      </w:divBdr>
                      <w:divsChild>
                        <w:div w:id="578826823">
                          <w:marLeft w:val="0"/>
                          <w:marRight w:val="0"/>
                          <w:marTop w:val="0"/>
                          <w:marBottom w:val="0"/>
                          <w:divBdr>
                            <w:top w:val="none" w:sz="0" w:space="0" w:color="auto"/>
                            <w:left w:val="none" w:sz="0" w:space="0" w:color="auto"/>
                            <w:bottom w:val="none" w:sz="0" w:space="0" w:color="auto"/>
                            <w:right w:val="none" w:sz="0" w:space="0" w:color="auto"/>
                          </w:divBdr>
                          <w:divsChild>
                            <w:div w:id="1314094700">
                              <w:marLeft w:val="0"/>
                              <w:marRight w:val="0"/>
                              <w:marTop w:val="0"/>
                              <w:marBottom w:val="75"/>
                              <w:divBdr>
                                <w:top w:val="none" w:sz="0" w:space="0" w:color="auto"/>
                                <w:left w:val="none" w:sz="0" w:space="0" w:color="auto"/>
                                <w:bottom w:val="none" w:sz="0" w:space="0" w:color="auto"/>
                                <w:right w:val="none" w:sz="0" w:space="0" w:color="auto"/>
                              </w:divBdr>
                            </w:div>
                            <w:div w:id="1364672724">
                              <w:marLeft w:val="0"/>
                              <w:marRight w:val="0"/>
                              <w:marTop w:val="0"/>
                              <w:marBottom w:val="75"/>
                              <w:divBdr>
                                <w:top w:val="none" w:sz="0" w:space="0" w:color="auto"/>
                                <w:left w:val="none" w:sz="0" w:space="0" w:color="auto"/>
                                <w:bottom w:val="none" w:sz="0" w:space="0" w:color="auto"/>
                                <w:right w:val="none" w:sz="0" w:space="0" w:color="auto"/>
                              </w:divBdr>
                              <w:divsChild>
                                <w:div w:id="78014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088245">
      <w:bodyDiv w:val="1"/>
      <w:marLeft w:val="0"/>
      <w:marRight w:val="0"/>
      <w:marTop w:val="0"/>
      <w:marBottom w:val="0"/>
      <w:divBdr>
        <w:top w:val="none" w:sz="0" w:space="0" w:color="auto"/>
        <w:left w:val="none" w:sz="0" w:space="0" w:color="auto"/>
        <w:bottom w:val="none" w:sz="0" w:space="0" w:color="auto"/>
        <w:right w:val="none" w:sz="0" w:space="0" w:color="auto"/>
      </w:divBdr>
    </w:div>
    <w:div w:id="158547036">
      <w:bodyDiv w:val="1"/>
      <w:marLeft w:val="0"/>
      <w:marRight w:val="0"/>
      <w:marTop w:val="0"/>
      <w:marBottom w:val="0"/>
      <w:divBdr>
        <w:top w:val="none" w:sz="0" w:space="0" w:color="auto"/>
        <w:left w:val="none" w:sz="0" w:space="0" w:color="auto"/>
        <w:bottom w:val="none" w:sz="0" w:space="0" w:color="auto"/>
        <w:right w:val="none" w:sz="0" w:space="0" w:color="auto"/>
      </w:divBdr>
    </w:div>
    <w:div w:id="204561117">
      <w:bodyDiv w:val="1"/>
      <w:marLeft w:val="0"/>
      <w:marRight w:val="0"/>
      <w:marTop w:val="0"/>
      <w:marBottom w:val="0"/>
      <w:divBdr>
        <w:top w:val="none" w:sz="0" w:space="0" w:color="auto"/>
        <w:left w:val="none" w:sz="0" w:space="0" w:color="auto"/>
        <w:bottom w:val="none" w:sz="0" w:space="0" w:color="auto"/>
        <w:right w:val="none" w:sz="0" w:space="0" w:color="auto"/>
      </w:divBdr>
      <w:divsChild>
        <w:div w:id="763305113">
          <w:marLeft w:val="0"/>
          <w:marRight w:val="0"/>
          <w:marTop w:val="450"/>
          <w:marBottom w:val="135"/>
          <w:divBdr>
            <w:top w:val="none" w:sz="0" w:space="0" w:color="auto"/>
            <w:left w:val="none" w:sz="0" w:space="0" w:color="auto"/>
            <w:bottom w:val="none" w:sz="0" w:space="0" w:color="auto"/>
            <w:right w:val="none" w:sz="0" w:space="0" w:color="auto"/>
          </w:divBdr>
        </w:div>
        <w:div w:id="806120557">
          <w:marLeft w:val="0"/>
          <w:marRight w:val="0"/>
          <w:marTop w:val="0"/>
          <w:marBottom w:val="0"/>
          <w:divBdr>
            <w:top w:val="none" w:sz="0" w:space="0" w:color="auto"/>
            <w:left w:val="none" w:sz="0" w:space="0" w:color="auto"/>
            <w:bottom w:val="none" w:sz="0" w:space="0" w:color="auto"/>
            <w:right w:val="none" w:sz="0" w:space="0" w:color="auto"/>
          </w:divBdr>
          <w:divsChild>
            <w:div w:id="247882613">
              <w:marLeft w:val="0"/>
              <w:marRight w:val="0"/>
              <w:marTop w:val="0"/>
              <w:marBottom w:val="0"/>
              <w:divBdr>
                <w:top w:val="none" w:sz="0" w:space="0" w:color="auto"/>
                <w:left w:val="none" w:sz="0" w:space="0" w:color="auto"/>
                <w:bottom w:val="none" w:sz="0" w:space="0" w:color="auto"/>
                <w:right w:val="none" w:sz="0" w:space="0" w:color="auto"/>
              </w:divBdr>
              <w:divsChild>
                <w:div w:id="1667711264">
                  <w:marLeft w:val="0"/>
                  <w:marRight w:val="0"/>
                  <w:marTop w:val="0"/>
                  <w:marBottom w:val="0"/>
                  <w:divBdr>
                    <w:top w:val="none" w:sz="0" w:space="0" w:color="auto"/>
                    <w:left w:val="none" w:sz="0" w:space="0" w:color="auto"/>
                    <w:bottom w:val="none" w:sz="0" w:space="0" w:color="auto"/>
                    <w:right w:val="none" w:sz="0" w:space="0" w:color="auto"/>
                  </w:divBdr>
                  <w:divsChild>
                    <w:div w:id="1100678691">
                      <w:marLeft w:val="0"/>
                      <w:marRight w:val="0"/>
                      <w:marTop w:val="0"/>
                      <w:marBottom w:val="0"/>
                      <w:divBdr>
                        <w:top w:val="none" w:sz="0" w:space="0" w:color="auto"/>
                        <w:left w:val="none" w:sz="0" w:space="0" w:color="auto"/>
                        <w:bottom w:val="none" w:sz="0" w:space="0" w:color="auto"/>
                        <w:right w:val="none" w:sz="0" w:space="0" w:color="auto"/>
                      </w:divBdr>
                    </w:div>
                  </w:divsChild>
                </w:div>
                <w:div w:id="1794329033">
                  <w:marLeft w:val="0"/>
                  <w:marRight w:val="120"/>
                  <w:marTop w:val="0"/>
                  <w:marBottom w:val="0"/>
                  <w:divBdr>
                    <w:top w:val="none" w:sz="0" w:space="0" w:color="auto"/>
                    <w:left w:val="none" w:sz="0" w:space="0" w:color="auto"/>
                    <w:bottom w:val="none" w:sz="0" w:space="0" w:color="auto"/>
                    <w:right w:val="none" w:sz="0" w:space="0" w:color="auto"/>
                  </w:divBdr>
                  <w:divsChild>
                    <w:div w:id="334192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105085">
              <w:marLeft w:val="0"/>
              <w:marRight w:val="0"/>
              <w:marTop w:val="0"/>
              <w:marBottom w:val="0"/>
              <w:divBdr>
                <w:top w:val="none" w:sz="0" w:space="0" w:color="auto"/>
                <w:left w:val="none" w:sz="0" w:space="0" w:color="auto"/>
                <w:bottom w:val="none" w:sz="0" w:space="0" w:color="auto"/>
                <w:right w:val="none" w:sz="0" w:space="0" w:color="auto"/>
              </w:divBdr>
              <w:divsChild>
                <w:div w:id="299844384">
                  <w:marLeft w:val="0"/>
                  <w:marRight w:val="0"/>
                  <w:marTop w:val="0"/>
                  <w:marBottom w:val="0"/>
                  <w:divBdr>
                    <w:top w:val="none" w:sz="0" w:space="0" w:color="auto"/>
                    <w:left w:val="none" w:sz="0" w:space="0" w:color="auto"/>
                    <w:bottom w:val="none" w:sz="0" w:space="0" w:color="auto"/>
                    <w:right w:val="none" w:sz="0" w:space="0" w:color="auto"/>
                  </w:divBdr>
                  <w:divsChild>
                    <w:div w:id="2124496590">
                      <w:marLeft w:val="0"/>
                      <w:marRight w:val="0"/>
                      <w:marTop w:val="0"/>
                      <w:marBottom w:val="0"/>
                      <w:divBdr>
                        <w:top w:val="none" w:sz="0" w:space="0" w:color="auto"/>
                        <w:left w:val="none" w:sz="0" w:space="0" w:color="auto"/>
                        <w:bottom w:val="none" w:sz="0" w:space="0" w:color="auto"/>
                        <w:right w:val="none" w:sz="0" w:space="0" w:color="auto"/>
                      </w:divBdr>
                    </w:div>
                  </w:divsChild>
                </w:div>
                <w:div w:id="1341154768">
                  <w:marLeft w:val="0"/>
                  <w:marRight w:val="120"/>
                  <w:marTop w:val="0"/>
                  <w:marBottom w:val="0"/>
                  <w:divBdr>
                    <w:top w:val="none" w:sz="0" w:space="0" w:color="auto"/>
                    <w:left w:val="none" w:sz="0" w:space="0" w:color="auto"/>
                    <w:bottom w:val="none" w:sz="0" w:space="0" w:color="auto"/>
                    <w:right w:val="none" w:sz="0" w:space="0" w:color="auto"/>
                  </w:divBdr>
                  <w:divsChild>
                    <w:div w:id="171870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673391">
              <w:marLeft w:val="0"/>
              <w:marRight w:val="0"/>
              <w:marTop w:val="0"/>
              <w:marBottom w:val="0"/>
              <w:divBdr>
                <w:top w:val="none" w:sz="0" w:space="0" w:color="auto"/>
                <w:left w:val="none" w:sz="0" w:space="0" w:color="auto"/>
                <w:bottom w:val="none" w:sz="0" w:space="0" w:color="auto"/>
                <w:right w:val="none" w:sz="0" w:space="0" w:color="auto"/>
              </w:divBdr>
              <w:divsChild>
                <w:div w:id="1751778596">
                  <w:marLeft w:val="0"/>
                  <w:marRight w:val="120"/>
                  <w:marTop w:val="0"/>
                  <w:marBottom w:val="0"/>
                  <w:divBdr>
                    <w:top w:val="none" w:sz="0" w:space="0" w:color="auto"/>
                    <w:left w:val="none" w:sz="0" w:space="0" w:color="auto"/>
                    <w:bottom w:val="none" w:sz="0" w:space="0" w:color="auto"/>
                    <w:right w:val="none" w:sz="0" w:space="0" w:color="auto"/>
                  </w:divBdr>
                  <w:divsChild>
                    <w:div w:id="940187940">
                      <w:marLeft w:val="0"/>
                      <w:marRight w:val="0"/>
                      <w:marTop w:val="0"/>
                      <w:marBottom w:val="0"/>
                      <w:divBdr>
                        <w:top w:val="none" w:sz="0" w:space="0" w:color="auto"/>
                        <w:left w:val="none" w:sz="0" w:space="0" w:color="auto"/>
                        <w:bottom w:val="none" w:sz="0" w:space="0" w:color="auto"/>
                        <w:right w:val="none" w:sz="0" w:space="0" w:color="auto"/>
                      </w:divBdr>
                    </w:div>
                  </w:divsChild>
                </w:div>
                <w:div w:id="2139837739">
                  <w:marLeft w:val="0"/>
                  <w:marRight w:val="0"/>
                  <w:marTop w:val="0"/>
                  <w:marBottom w:val="0"/>
                  <w:divBdr>
                    <w:top w:val="none" w:sz="0" w:space="0" w:color="auto"/>
                    <w:left w:val="none" w:sz="0" w:space="0" w:color="auto"/>
                    <w:bottom w:val="none" w:sz="0" w:space="0" w:color="auto"/>
                    <w:right w:val="none" w:sz="0" w:space="0" w:color="auto"/>
                  </w:divBdr>
                  <w:divsChild>
                    <w:div w:id="84975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178628">
          <w:marLeft w:val="0"/>
          <w:marRight w:val="0"/>
          <w:marTop w:val="0"/>
          <w:marBottom w:val="0"/>
          <w:divBdr>
            <w:top w:val="none" w:sz="0" w:space="0" w:color="auto"/>
            <w:left w:val="none" w:sz="0" w:space="0" w:color="auto"/>
            <w:bottom w:val="none" w:sz="0" w:space="0" w:color="auto"/>
            <w:right w:val="none" w:sz="0" w:space="0" w:color="auto"/>
          </w:divBdr>
          <w:divsChild>
            <w:div w:id="448595555">
              <w:marLeft w:val="0"/>
              <w:marRight w:val="0"/>
              <w:marTop w:val="0"/>
              <w:marBottom w:val="0"/>
              <w:divBdr>
                <w:top w:val="none" w:sz="0" w:space="0" w:color="auto"/>
                <w:left w:val="none" w:sz="0" w:space="0" w:color="auto"/>
                <w:bottom w:val="none" w:sz="0" w:space="0" w:color="auto"/>
                <w:right w:val="none" w:sz="0" w:space="0" w:color="auto"/>
              </w:divBdr>
              <w:divsChild>
                <w:div w:id="480731057">
                  <w:marLeft w:val="0"/>
                  <w:marRight w:val="120"/>
                  <w:marTop w:val="0"/>
                  <w:marBottom w:val="0"/>
                  <w:divBdr>
                    <w:top w:val="none" w:sz="0" w:space="0" w:color="auto"/>
                    <w:left w:val="none" w:sz="0" w:space="0" w:color="auto"/>
                    <w:bottom w:val="none" w:sz="0" w:space="0" w:color="auto"/>
                    <w:right w:val="none" w:sz="0" w:space="0" w:color="auto"/>
                  </w:divBdr>
                  <w:divsChild>
                    <w:div w:id="16003670">
                      <w:marLeft w:val="0"/>
                      <w:marRight w:val="0"/>
                      <w:marTop w:val="0"/>
                      <w:marBottom w:val="0"/>
                      <w:divBdr>
                        <w:top w:val="none" w:sz="0" w:space="0" w:color="auto"/>
                        <w:left w:val="none" w:sz="0" w:space="0" w:color="auto"/>
                        <w:bottom w:val="none" w:sz="0" w:space="0" w:color="auto"/>
                        <w:right w:val="none" w:sz="0" w:space="0" w:color="auto"/>
                      </w:divBdr>
                    </w:div>
                  </w:divsChild>
                </w:div>
                <w:div w:id="1379278207">
                  <w:marLeft w:val="0"/>
                  <w:marRight w:val="0"/>
                  <w:marTop w:val="0"/>
                  <w:marBottom w:val="0"/>
                  <w:divBdr>
                    <w:top w:val="none" w:sz="0" w:space="0" w:color="auto"/>
                    <w:left w:val="none" w:sz="0" w:space="0" w:color="auto"/>
                    <w:bottom w:val="none" w:sz="0" w:space="0" w:color="auto"/>
                    <w:right w:val="none" w:sz="0" w:space="0" w:color="auto"/>
                  </w:divBdr>
                  <w:divsChild>
                    <w:div w:id="732243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08470">
              <w:marLeft w:val="0"/>
              <w:marRight w:val="0"/>
              <w:marTop w:val="0"/>
              <w:marBottom w:val="0"/>
              <w:divBdr>
                <w:top w:val="none" w:sz="0" w:space="0" w:color="auto"/>
                <w:left w:val="none" w:sz="0" w:space="0" w:color="auto"/>
                <w:bottom w:val="none" w:sz="0" w:space="0" w:color="auto"/>
                <w:right w:val="none" w:sz="0" w:space="0" w:color="auto"/>
              </w:divBdr>
              <w:divsChild>
                <w:div w:id="324171395">
                  <w:marLeft w:val="0"/>
                  <w:marRight w:val="0"/>
                  <w:marTop w:val="0"/>
                  <w:marBottom w:val="0"/>
                  <w:divBdr>
                    <w:top w:val="none" w:sz="0" w:space="0" w:color="auto"/>
                    <w:left w:val="none" w:sz="0" w:space="0" w:color="auto"/>
                    <w:bottom w:val="none" w:sz="0" w:space="0" w:color="auto"/>
                    <w:right w:val="none" w:sz="0" w:space="0" w:color="auto"/>
                  </w:divBdr>
                  <w:divsChild>
                    <w:div w:id="255670036">
                      <w:marLeft w:val="0"/>
                      <w:marRight w:val="0"/>
                      <w:marTop w:val="0"/>
                      <w:marBottom w:val="0"/>
                      <w:divBdr>
                        <w:top w:val="none" w:sz="0" w:space="0" w:color="auto"/>
                        <w:left w:val="none" w:sz="0" w:space="0" w:color="auto"/>
                        <w:bottom w:val="none" w:sz="0" w:space="0" w:color="auto"/>
                        <w:right w:val="none" w:sz="0" w:space="0" w:color="auto"/>
                      </w:divBdr>
                    </w:div>
                  </w:divsChild>
                </w:div>
                <w:div w:id="1046956151">
                  <w:marLeft w:val="0"/>
                  <w:marRight w:val="120"/>
                  <w:marTop w:val="0"/>
                  <w:marBottom w:val="0"/>
                  <w:divBdr>
                    <w:top w:val="none" w:sz="0" w:space="0" w:color="auto"/>
                    <w:left w:val="none" w:sz="0" w:space="0" w:color="auto"/>
                    <w:bottom w:val="none" w:sz="0" w:space="0" w:color="auto"/>
                    <w:right w:val="none" w:sz="0" w:space="0" w:color="auto"/>
                  </w:divBdr>
                  <w:divsChild>
                    <w:div w:id="79549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698257">
              <w:marLeft w:val="0"/>
              <w:marRight w:val="0"/>
              <w:marTop w:val="0"/>
              <w:marBottom w:val="0"/>
              <w:divBdr>
                <w:top w:val="none" w:sz="0" w:space="0" w:color="auto"/>
                <w:left w:val="none" w:sz="0" w:space="0" w:color="auto"/>
                <w:bottom w:val="none" w:sz="0" w:space="0" w:color="auto"/>
                <w:right w:val="none" w:sz="0" w:space="0" w:color="auto"/>
              </w:divBdr>
              <w:divsChild>
                <w:div w:id="176240724">
                  <w:marLeft w:val="0"/>
                  <w:marRight w:val="120"/>
                  <w:marTop w:val="0"/>
                  <w:marBottom w:val="0"/>
                  <w:divBdr>
                    <w:top w:val="none" w:sz="0" w:space="0" w:color="auto"/>
                    <w:left w:val="none" w:sz="0" w:space="0" w:color="auto"/>
                    <w:bottom w:val="none" w:sz="0" w:space="0" w:color="auto"/>
                    <w:right w:val="none" w:sz="0" w:space="0" w:color="auto"/>
                  </w:divBdr>
                  <w:divsChild>
                    <w:div w:id="452091407">
                      <w:marLeft w:val="0"/>
                      <w:marRight w:val="0"/>
                      <w:marTop w:val="0"/>
                      <w:marBottom w:val="0"/>
                      <w:divBdr>
                        <w:top w:val="none" w:sz="0" w:space="0" w:color="auto"/>
                        <w:left w:val="none" w:sz="0" w:space="0" w:color="auto"/>
                        <w:bottom w:val="none" w:sz="0" w:space="0" w:color="auto"/>
                        <w:right w:val="none" w:sz="0" w:space="0" w:color="auto"/>
                      </w:divBdr>
                    </w:div>
                  </w:divsChild>
                </w:div>
                <w:div w:id="263805810">
                  <w:marLeft w:val="0"/>
                  <w:marRight w:val="0"/>
                  <w:marTop w:val="0"/>
                  <w:marBottom w:val="0"/>
                  <w:divBdr>
                    <w:top w:val="none" w:sz="0" w:space="0" w:color="auto"/>
                    <w:left w:val="none" w:sz="0" w:space="0" w:color="auto"/>
                    <w:bottom w:val="none" w:sz="0" w:space="0" w:color="auto"/>
                    <w:right w:val="none" w:sz="0" w:space="0" w:color="auto"/>
                  </w:divBdr>
                  <w:divsChild>
                    <w:div w:id="2316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1083934">
          <w:marLeft w:val="0"/>
          <w:marRight w:val="0"/>
          <w:marTop w:val="450"/>
          <w:marBottom w:val="135"/>
          <w:divBdr>
            <w:top w:val="none" w:sz="0" w:space="0" w:color="auto"/>
            <w:left w:val="none" w:sz="0" w:space="0" w:color="auto"/>
            <w:bottom w:val="none" w:sz="0" w:space="0" w:color="auto"/>
            <w:right w:val="none" w:sz="0" w:space="0" w:color="auto"/>
          </w:divBdr>
        </w:div>
      </w:divsChild>
    </w:div>
    <w:div w:id="223487913">
      <w:bodyDiv w:val="1"/>
      <w:marLeft w:val="0"/>
      <w:marRight w:val="0"/>
      <w:marTop w:val="0"/>
      <w:marBottom w:val="0"/>
      <w:divBdr>
        <w:top w:val="none" w:sz="0" w:space="0" w:color="auto"/>
        <w:left w:val="none" w:sz="0" w:space="0" w:color="auto"/>
        <w:bottom w:val="none" w:sz="0" w:space="0" w:color="auto"/>
        <w:right w:val="none" w:sz="0" w:space="0" w:color="auto"/>
      </w:divBdr>
      <w:divsChild>
        <w:div w:id="731385937">
          <w:marLeft w:val="0"/>
          <w:marRight w:val="0"/>
          <w:marTop w:val="0"/>
          <w:marBottom w:val="0"/>
          <w:divBdr>
            <w:top w:val="none" w:sz="0" w:space="0" w:color="auto"/>
            <w:left w:val="none" w:sz="0" w:space="0" w:color="auto"/>
            <w:bottom w:val="none" w:sz="0" w:space="0" w:color="auto"/>
            <w:right w:val="none" w:sz="0" w:space="0" w:color="auto"/>
          </w:divBdr>
          <w:divsChild>
            <w:div w:id="1840849316">
              <w:marLeft w:val="0"/>
              <w:marRight w:val="0"/>
              <w:marTop w:val="0"/>
              <w:marBottom w:val="0"/>
              <w:divBdr>
                <w:top w:val="none" w:sz="0" w:space="0" w:color="auto"/>
                <w:left w:val="none" w:sz="0" w:space="0" w:color="auto"/>
                <w:bottom w:val="none" w:sz="0" w:space="0" w:color="auto"/>
                <w:right w:val="none" w:sz="0" w:space="0" w:color="auto"/>
              </w:divBdr>
              <w:divsChild>
                <w:div w:id="11371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548700">
      <w:bodyDiv w:val="1"/>
      <w:marLeft w:val="0"/>
      <w:marRight w:val="0"/>
      <w:marTop w:val="0"/>
      <w:marBottom w:val="0"/>
      <w:divBdr>
        <w:top w:val="none" w:sz="0" w:space="0" w:color="auto"/>
        <w:left w:val="none" w:sz="0" w:space="0" w:color="auto"/>
        <w:bottom w:val="none" w:sz="0" w:space="0" w:color="auto"/>
        <w:right w:val="none" w:sz="0" w:space="0" w:color="auto"/>
      </w:divBdr>
      <w:divsChild>
        <w:div w:id="2123645117">
          <w:marLeft w:val="0"/>
          <w:marRight w:val="0"/>
          <w:marTop w:val="0"/>
          <w:marBottom w:val="0"/>
          <w:divBdr>
            <w:top w:val="none" w:sz="0" w:space="0" w:color="auto"/>
            <w:left w:val="none" w:sz="0" w:space="0" w:color="auto"/>
            <w:bottom w:val="none" w:sz="0" w:space="0" w:color="auto"/>
            <w:right w:val="none" w:sz="0" w:space="0" w:color="auto"/>
          </w:divBdr>
          <w:divsChild>
            <w:div w:id="558327164">
              <w:marLeft w:val="0"/>
              <w:marRight w:val="0"/>
              <w:marTop w:val="0"/>
              <w:marBottom w:val="0"/>
              <w:divBdr>
                <w:top w:val="none" w:sz="0" w:space="0" w:color="auto"/>
                <w:left w:val="none" w:sz="0" w:space="0" w:color="auto"/>
                <w:bottom w:val="none" w:sz="0" w:space="0" w:color="auto"/>
                <w:right w:val="none" w:sz="0" w:space="0" w:color="auto"/>
              </w:divBdr>
              <w:divsChild>
                <w:div w:id="2147160526">
                  <w:marLeft w:val="0"/>
                  <w:marRight w:val="0"/>
                  <w:marTop w:val="0"/>
                  <w:marBottom w:val="0"/>
                  <w:divBdr>
                    <w:top w:val="none" w:sz="0" w:space="0" w:color="auto"/>
                    <w:left w:val="none" w:sz="0" w:space="0" w:color="auto"/>
                    <w:bottom w:val="none" w:sz="0" w:space="0" w:color="auto"/>
                    <w:right w:val="none" w:sz="0" w:space="0" w:color="auto"/>
                  </w:divBdr>
                  <w:divsChild>
                    <w:div w:id="611473491">
                      <w:marLeft w:val="0"/>
                      <w:marRight w:val="0"/>
                      <w:marTop w:val="0"/>
                      <w:marBottom w:val="0"/>
                      <w:divBdr>
                        <w:top w:val="none" w:sz="0" w:space="0" w:color="auto"/>
                        <w:left w:val="none" w:sz="0" w:space="0" w:color="auto"/>
                        <w:bottom w:val="none" w:sz="0" w:space="0" w:color="auto"/>
                        <w:right w:val="none" w:sz="0" w:space="0" w:color="auto"/>
                      </w:divBdr>
                      <w:divsChild>
                        <w:div w:id="1874079448">
                          <w:marLeft w:val="0"/>
                          <w:marRight w:val="0"/>
                          <w:marTop w:val="0"/>
                          <w:marBottom w:val="0"/>
                          <w:divBdr>
                            <w:top w:val="none" w:sz="0" w:space="0" w:color="auto"/>
                            <w:left w:val="none" w:sz="0" w:space="0" w:color="auto"/>
                            <w:bottom w:val="none" w:sz="0" w:space="0" w:color="auto"/>
                            <w:right w:val="none" w:sz="0" w:space="0" w:color="auto"/>
                          </w:divBdr>
                        </w:div>
                      </w:divsChild>
                    </w:div>
                    <w:div w:id="1161046068">
                      <w:marLeft w:val="0"/>
                      <w:marRight w:val="0"/>
                      <w:marTop w:val="0"/>
                      <w:marBottom w:val="0"/>
                      <w:divBdr>
                        <w:top w:val="none" w:sz="0" w:space="0" w:color="auto"/>
                        <w:left w:val="none" w:sz="0" w:space="0" w:color="auto"/>
                        <w:bottom w:val="none" w:sz="0" w:space="0" w:color="auto"/>
                        <w:right w:val="none" w:sz="0" w:space="0" w:color="auto"/>
                      </w:divBdr>
                      <w:divsChild>
                        <w:div w:id="1253275918">
                          <w:marLeft w:val="0"/>
                          <w:marRight w:val="0"/>
                          <w:marTop w:val="0"/>
                          <w:marBottom w:val="0"/>
                          <w:divBdr>
                            <w:top w:val="none" w:sz="0" w:space="0" w:color="auto"/>
                            <w:left w:val="none" w:sz="0" w:space="0" w:color="auto"/>
                            <w:bottom w:val="none" w:sz="0" w:space="0" w:color="auto"/>
                            <w:right w:val="none" w:sz="0" w:space="0" w:color="auto"/>
                          </w:divBdr>
                        </w:div>
                      </w:divsChild>
                    </w:div>
                    <w:div w:id="1183591409">
                      <w:marLeft w:val="0"/>
                      <w:marRight w:val="0"/>
                      <w:marTop w:val="0"/>
                      <w:marBottom w:val="0"/>
                      <w:divBdr>
                        <w:top w:val="none" w:sz="0" w:space="0" w:color="auto"/>
                        <w:left w:val="none" w:sz="0" w:space="0" w:color="auto"/>
                        <w:bottom w:val="none" w:sz="0" w:space="0" w:color="auto"/>
                        <w:right w:val="none" w:sz="0" w:space="0" w:color="auto"/>
                      </w:divBdr>
                      <w:divsChild>
                        <w:div w:id="650135605">
                          <w:marLeft w:val="0"/>
                          <w:marRight w:val="0"/>
                          <w:marTop w:val="0"/>
                          <w:marBottom w:val="0"/>
                          <w:divBdr>
                            <w:top w:val="none" w:sz="0" w:space="0" w:color="auto"/>
                            <w:left w:val="none" w:sz="0" w:space="0" w:color="auto"/>
                            <w:bottom w:val="none" w:sz="0" w:space="0" w:color="auto"/>
                            <w:right w:val="none" w:sz="0" w:space="0" w:color="auto"/>
                          </w:divBdr>
                        </w:div>
                      </w:divsChild>
                    </w:div>
                    <w:div w:id="1823615652">
                      <w:marLeft w:val="0"/>
                      <w:marRight w:val="0"/>
                      <w:marTop w:val="0"/>
                      <w:marBottom w:val="0"/>
                      <w:divBdr>
                        <w:top w:val="none" w:sz="0" w:space="0" w:color="auto"/>
                        <w:left w:val="none" w:sz="0" w:space="0" w:color="auto"/>
                        <w:bottom w:val="none" w:sz="0" w:space="0" w:color="auto"/>
                        <w:right w:val="none" w:sz="0" w:space="0" w:color="auto"/>
                      </w:divBdr>
                      <w:divsChild>
                        <w:div w:id="1761102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0679239">
      <w:bodyDiv w:val="1"/>
      <w:marLeft w:val="0"/>
      <w:marRight w:val="0"/>
      <w:marTop w:val="0"/>
      <w:marBottom w:val="0"/>
      <w:divBdr>
        <w:top w:val="none" w:sz="0" w:space="0" w:color="auto"/>
        <w:left w:val="none" w:sz="0" w:space="0" w:color="auto"/>
        <w:bottom w:val="none" w:sz="0" w:space="0" w:color="auto"/>
        <w:right w:val="none" w:sz="0" w:space="0" w:color="auto"/>
      </w:divBdr>
    </w:div>
    <w:div w:id="656423723">
      <w:bodyDiv w:val="1"/>
      <w:marLeft w:val="0"/>
      <w:marRight w:val="0"/>
      <w:marTop w:val="0"/>
      <w:marBottom w:val="0"/>
      <w:divBdr>
        <w:top w:val="none" w:sz="0" w:space="0" w:color="auto"/>
        <w:left w:val="none" w:sz="0" w:space="0" w:color="auto"/>
        <w:bottom w:val="none" w:sz="0" w:space="0" w:color="auto"/>
        <w:right w:val="none" w:sz="0" w:space="0" w:color="auto"/>
      </w:divBdr>
    </w:div>
    <w:div w:id="712735022">
      <w:bodyDiv w:val="1"/>
      <w:marLeft w:val="0"/>
      <w:marRight w:val="0"/>
      <w:marTop w:val="0"/>
      <w:marBottom w:val="0"/>
      <w:divBdr>
        <w:top w:val="none" w:sz="0" w:space="0" w:color="auto"/>
        <w:left w:val="none" w:sz="0" w:space="0" w:color="auto"/>
        <w:bottom w:val="none" w:sz="0" w:space="0" w:color="auto"/>
        <w:right w:val="none" w:sz="0" w:space="0" w:color="auto"/>
      </w:divBdr>
      <w:divsChild>
        <w:div w:id="249387572">
          <w:marLeft w:val="0"/>
          <w:marRight w:val="0"/>
          <w:marTop w:val="0"/>
          <w:marBottom w:val="0"/>
          <w:divBdr>
            <w:top w:val="none" w:sz="0" w:space="0" w:color="auto"/>
            <w:left w:val="none" w:sz="0" w:space="0" w:color="auto"/>
            <w:bottom w:val="none" w:sz="0" w:space="0" w:color="auto"/>
            <w:right w:val="none" w:sz="0" w:space="0" w:color="auto"/>
          </w:divBdr>
          <w:divsChild>
            <w:div w:id="103691735">
              <w:marLeft w:val="0"/>
              <w:marRight w:val="0"/>
              <w:marTop w:val="0"/>
              <w:marBottom w:val="0"/>
              <w:divBdr>
                <w:top w:val="none" w:sz="0" w:space="0" w:color="auto"/>
                <w:left w:val="none" w:sz="0" w:space="0" w:color="auto"/>
                <w:bottom w:val="none" w:sz="0" w:space="0" w:color="auto"/>
                <w:right w:val="none" w:sz="0" w:space="0" w:color="auto"/>
              </w:divBdr>
            </w:div>
            <w:div w:id="422074558">
              <w:marLeft w:val="0"/>
              <w:marRight w:val="0"/>
              <w:marTop w:val="0"/>
              <w:marBottom w:val="0"/>
              <w:divBdr>
                <w:top w:val="none" w:sz="0" w:space="0" w:color="auto"/>
                <w:left w:val="none" w:sz="0" w:space="0" w:color="auto"/>
                <w:bottom w:val="none" w:sz="0" w:space="0" w:color="auto"/>
                <w:right w:val="none" w:sz="0" w:space="0" w:color="auto"/>
              </w:divBdr>
            </w:div>
            <w:div w:id="596475709">
              <w:marLeft w:val="0"/>
              <w:marRight w:val="0"/>
              <w:marTop w:val="0"/>
              <w:marBottom w:val="0"/>
              <w:divBdr>
                <w:top w:val="none" w:sz="0" w:space="0" w:color="auto"/>
                <w:left w:val="none" w:sz="0" w:space="0" w:color="auto"/>
                <w:bottom w:val="none" w:sz="0" w:space="0" w:color="auto"/>
                <w:right w:val="none" w:sz="0" w:space="0" w:color="auto"/>
              </w:divBdr>
            </w:div>
            <w:div w:id="1078598910">
              <w:marLeft w:val="0"/>
              <w:marRight w:val="0"/>
              <w:marTop w:val="0"/>
              <w:marBottom w:val="0"/>
              <w:divBdr>
                <w:top w:val="none" w:sz="0" w:space="0" w:color="auto"/>
                <w:left w:val="none" w:sz="0" w:space="0" w:color="auto"/>
                <w:bottom w:val="none" w:sz="0" w:space="0" w:color="auto"/>
                <w:right w:val="none" w:sz="0" w:space="0" w:color="auto"/>
              </w:divBdr>
            </w:div>
            <w:div w:id="1213537828">
              <w:marLeft w:val="0"/>
              <w:marRight w:val="0"/>
              <w:marTop w:val="0"/>
              <w:marBottom w:val="0"/>
              <w:divBdr>
                <w:top w:val="none" w:sz="0" w:space="0" w:color="auto"/>
                <w:left w:val="none" w:sz="0" w:space="0" w:color="auto"/>
                <w:bottom w:val="none" w:sz="0" w:space="0" w:color="auto"/>
                <w:right w:val="none" w:sz="0" w:space="0" w:color="auto"/>
              </w:divBdr>
              <w:divsChild>
                <w:div w:id="1957638376">
                  <w:marLeft w:val="0"/>
                  <w:marRight w:val="0"/>
                  <w:marTop w:val="0"/>
                  <w:marBottom w:val="0"/>
                  <w:divBdr>
                    <w:top w:val="none" w:sz="0" w:space="0" w:color="auto"/>
                    <w:left w:val="none" w:sz="0" w:space="0" w:color="auto"/>
                    <w:bottom w:val="none" w:sz="0" w:space="0" w:color="auto"/>
                    <w:right w:val="none" w:sz="0" w:space="0" w:color="auto"/>
                  </w:divBdr>
                  <w:divsChild>
                    <w:div w:id="471561647">
                      <w:marLeft w:val="0"/>
                      <w:marRight w:val="0"/>
                      <w:marTop w:val="0"/>
                      <w:marBottom w:val="0"/>
                      <w:divBdr>
                        <w:top w:val="none" w:sz="0" w:space="0" w:color="auto"/>
                        <w:left w:val="none" w:sz="0" w:space="0" w:color="auto"/>
                        <w:bottom w:val="none" w:sz="0" w:space="0" w:color="auto"/>
                        <w:right w:val="none" w:sz="0" w:space="0" w:color="auto"/>
                      </w:divBdr>
                      <w:divsChild>
                        <w:div w:id="1662268430">
                          <w:marLeft w:val="0"/>
                          <w:marRight w:val="0"/>
                          <w:marTop w:val="0"/>
                          <w:marBottom w:val="0"/>
                          <w:divBdr>
                            <w:top w:val="none" w:sz="0" w:space="0" w:color="auto"/>
                            <w:left w:val="none" w:sz="0" w:space="0" w:color="auto"/>
                            <w:bottom w:val="none" w:sz="0" w:space="0" w:color="auto"/>
                            <w:right w:val="none" w:sz="0" w:space="0" w:color="auto"/>
                          </w:divBdr>
                          <w:divsChild>
                            <w:div w:id="84640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1252884">
              <w:marLeft w:val="0"/>
              <w:marRight w:val="0"/>
              <w:marTop w:val="0"/>
              <w:marBottom w:val="0"/>
              <w:divBdr>
                <w:top w:val="none" w:sz="0" w:space="0" w:color="auto"/>
                <w:left w:val="none" w:sz="0" w:space="0" w:color="auto"/>
                <w:bottom w:val="none" w:sz="0" w:space="0" w:color="auto"/>
                <w:right w:val="none" w:sz="0" w:space="0" w:color="auto"/>
              </w:divBdr>
            </w:div>
            <w:div w:id="1544292084">
              <w:marLeft w:val="0"/>
              <w:marRight w:val="0"/>
              <w:marTop w:val="0"/>
              <w:marBottom w:val="0"/>
              <w:divBdr>
                <w:top w:val="none" w:sz="0" w:space="0" w:color="auto"/>
                <w:left w:val="none" w:sz="0" w:space="0" w:color="auto"/>
                <w:bottom w:val="none" w:sz="0" w:space="0" w:color="auto"/>
                <w:right w:val="none" w:sz="0" w:space="0" w:color="auto"/>
              </w:divBdr>
            </w:div>
            <w:div w:id="184203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324347">
      <w:bodyDiv w:val="1"/>
      <w:marLeft w:val="0"/>
      <w:marRight w:val="0"/>
      <w:marTop w:val="0"/>
      <w:marBottom w:val="0"/>
      <w:divBdr>
        <w:top w:val="none" w:sz="0" w:space="0" w:color="auto"/>
        <w:left w:val="none" w:sz="0" w:space="0" w:color="auto"/>
        <w:bottom w:val="none" w:sz="0" w:space="0" w:color="auto"/>
        <w:right w:val="none" w:sz="0" w:space="0" w:color="auto"/>
      </w:divBdr>
    </w:div>
    <w:div w:id="847064742">
      <w:bodyDiv w:val="1"/>
      <w:marLeft w:val="0"/>
      <w:marRight w:val="0"/>
      <w:marTop w:val="0"/>
      <w:marBottom w:val="0"/>
      <w:divBdr>
        <w:top w:val="none" w:sz="0" w:space="0" w:color="auto"/>
        <w:left w:val="none" w:sz="0" w:space="0" w:color="auto"/>
        <w:bottom w:val="none" w:sz="0" w:space="0" w:color="auto"/>
        <w:right w:val="none" w:sz="0" w:space="0" w:color="auto"/>
      </w:divBdr>
      <w:divsChild>
        <w:div w:id="644895207">
          <w:marLeft w:val="0"/>
          <w:marRight w:val="0"/>
          <w:marTop w:val="0"/>
          <w:marBottom w:val="0"/>
          <w:divBdr>
            <w:top w:val="none" w:sz="0" w:space="0" w:color="auto"/>
            <w:left w:val="none" w:sz="0" w:space="0" w:color="auto"/>
            <w:bottom w:val="none" w:sz="0" w:space="0" w:color="auto"/>
            <w:right w:val="none" w:sz="0" w:space="0" w:color="auto"/>
          </w:divBdr>
          <w:divsChild>
            <w:div w:id="1551726535">
              <w:marLeft w:val="0"/>
              <w:marRight w:val="0"/>
              <w:marTop w:val="0"/>
              <w:marBottom w:val="0"/>
              <w:divBdr>
                <w:top w:val="none" w:sz="0" w:space="0" w:color="auto"/>
                <w:left w:val="none" w:sz="0" w:space="0" w:color="auto"/>
                <w:bottom w:val="none" w:sz="0" w:space="0" w:color="auto"/>
                <w:right w:val="none" w:sz="0" w:space="0" w:color="auto"/>
              </w:divBdr>
            </w:div>
          </w:divsChild>
        </w:div>
        <w:div w:id="1362633686">
          <w:marLeft w:val="0"/>
          <w:marRight w:val="0"/>
          <w:marTop w:val="0"/>
          <w:marBottom w:val="0"/>
          <w:divBdr>
            <w:top w:val="none" w:sz="0" w:space="0" w:color="auto"/>
            <w:left w:val="none" w:sz="0" w:space="0" w:color="auto"/>
            <w:bottom w:val="none" w:sz="0" w:space="0" w:color="auto"/>
            <w:right w:val="none" w:sz="0" w:space="0" w:color="auto"/>
          </w:divBdr>
          <w:divsChild>
            <w:div w:id="300967258">
              <w:marLeft w:val="0"/>
              <w:marRight w:val="0"/>
              <w:marTop w:val="0"/>
              <w:marBottom w:val="0"/>
              <w:divBdr>
                <w:top w:val="none" w:sz="0" w:space="0" w:color="auto"/>
                <w:left w:val="none" w:sz="0" w:space="0" w:color="auto"/>
                <w:bottom w:val="none" w:sz="0" w:space="0" w:color="auto"/>
                <w:right w:val="none" w:sz="0" w:space="0" w:color="auto"/>
              </w:divBdr>
            </w:div>
          </w:divsChild>
        </w:div>
        <w:div w:id="1734161705">
          <w:marLeft w:val="0"/>
          <w:marRight w:val="0"/>
          <w:marTop w:val="0"/>
          <w:marBottom w:val="0"/>
          <w:divBdr>
            <w:top w:val="none" w:sz="0" w:space="0" w:color="auto"/>
            <w:left w:val="none" w:sz="0" w:space="0" w:color="auto"/>
            <w:bottom w:val="none" w:sz="0" w:space="0" w:color="auto"/>
            <w:right w:val="none" w:sz="0" w:space="0" w:color="auto"/>
          </w:divBdr>
          <w:divsChild>
            <w:div w:id="1082531972">
              <w:marLeft w:val="0"/>
              <w:marRight w:val="0"/>
              <w:marTop w:val="0"/>
              <w:marBottom w:val="0"/>
              <w:divBdr>
                <w:top w:val="none" w:sz="0" w:space="0" w:color="auto"/>
                <w:left w:val="none" w:sz="0" w:space="0" w:color="auto"/>
                <w:bottom w:val="none" w:sz="0" w:space="0" w:color="auto"/>
                <w:right w:val="none" w:sz="0" w:space="0" w:color="auto"/>
              </w:divBdr>
              <w:divsChild>
                <w:div w:id="1710033766">
                  <w:marLeft w:val="0"/>
                  <w:marRight w:val="0"/>
                  <w:marTop w:val="0"/>
                  <w:marBottom w:val="0"/>
                  <w:divBdr>
                    <w:top w:val="none" w:sz="0" w:space="0" w:color="auto"/>
                    <w:left w:val="none" w:sz="0" w:space="0" w:color="auto"/>
                    <w:bottom w:val="none" w:sz="0" w:space="0" w:color="auto"/>
                    <w:right w:val="none" w:sz="0" w:space="0" w:color="auto"/>
                  </w:divBdr>
                  <w:divsChild>
                    <w:div w:id="213155628">
                      <w:marLeft w:val="0"/>
                      <w:marRight w:val="0"/>
                      <w:marTop w:val="0"/>
                      <w:marBottom w:val="0"/>
                      <w:divBdr>
                        <w:top w:val="none" w:sz="0" w:space="0" w:color="auto"/>
                        <w:left w:val="none" w:sz="0" w:space="0" w:color="auto"/>
                        <w:bottom w:val="none" w:sz="0" w:space="0" w:color="auto"/>
                        <w:right w:val="none" w:sz="0" w:space="0" w:color="auto"/>
                      </w:divBdr>
                      <w:divsChild>
                        <w:div w:id="517082226">
                          <w:marLeft w:val="0"/>
                          <w:marRight w:val="0"/>
                          <w:marTop w:val="0"/>
                          <w:marBottom w:val="0"/>
                          <w:divBdr>
                            <w:top w:val="none" w:sz="0" w:space="0" w:color="auto"/>
                            <w:left w:val="none" w:sz="0" w:space="0" w:color="auto"/>
                            <w:bottom w:val="none" w:sz="0" w:space="0" w:color="auto"/>
                            <w:right w:val="none" w:sz="0" w:space="0" w:color="auto"/>
                          </w:divBdr>
                        </w:div>
                      </w:divsChild>
                    </w:div>
                    <w:div w:id="1402869582">
                      <w:marLeft w:val="0"/>
                      <w:marRight w:val="0"/>
                      <w:marTop w:val="0"/>
                      <w:marBottom w:val="0"/>
                      <w:divBdr>
                        <w:top w:val="none" w:sz="0" w:space="0" w:color="auto"/>
                        <w:left w:val="none" w:sz="0" w:space="0" w:color="auto"/>
                        <w:bottom w:val="none" w:sz="0" w:space="0" w:color="auto"/>
                        <w:right w:val="none" w:sz="0" w:space="0" w:color="auto"/>
                      </w:divBdr>
                      <w:divsChild>
                        <w:div w:id="14807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562488">
      <w:bodyDiv w:val="1"/>
      <w:marLeft w:val="0"/>
      <w:marRight w:val="0"/>
      <w:marTop w:val="0"/>
      <w:marBottom w:val="0"/>
      <w:divBdr>
        <w:top w:val="none" w:sz="0" w:space="0" w:color="auto"/>
        <w:left w:val="none" w:sz="0" w:space="0" w:color="auto"/>
        <w:bottom w:val="none" w:sz="0" w:space="0" w:color="auto"/>
        <w:right w:val="none" w:sz="0" w:space="0" w:color="auto"/>
      </w:divBdr>
    </w:div>
    <w:div w:id="990642787">
      <w:bodyDiv w:val="1"/>
      <w:marLeft w:val="0"/>
      <w:marRight w:val="0"/>
      <w:marTop w:val="0"/>
      <w:marBottom w:val="0"/>
      <w:divBdr>
        <w:top w:val="none" w:sz="0" w:space="0" w:color="auto"/>
        <w:left w:val="none" w:sz="0" w:space="0" w:color="auto"/>
        <w:bottom w:val="none" w:sz="0" w:space="0" w:color="auto"/>
        <w:right w:val="none" w:sz="0" w:space="0" w:color="auto"/>
      </w:divBdr>
      <w:divsChild>
        <w:div w:id="130026919">
          <w:marLeft w:val="0"/>
          <w:marRight w:val="0"/>
          <w:marTop w:val="0"/>
          <w:marBottom w:val="0"/>
          <w:divBdr>
            <w:top w:val="none" w:sz="0" w:space="0" w:color="auto"/>
            <w:left w:val="none" w:sz="0" w:space="0" w:color="auto"/>
            <w:bottom w:val="none" w:sz="0" w:space="0" w:color="auto"/>
            <w:right w:val="none" w:sz="0" w:space="0" w:color="auto"/>
          </w:divBdr>
        </w:div>
        <w:div w:id="206139795">
          <w:marLeft w:val="0"/>
          <w:marRight w:val="0"/>
          <w:marTop w:val="0"/>
          <w:marBottom w:val="0"/>
          <w:divBdr>
            <w:top w:val="none" w:sz="0" w:space="0" w:color="auto"/>
            <w:left w:val="none" w:sz="0" w:space="0" w:color="auto"/>
            <w:bottom w:val="none" w:sz="0" w:space="0" w:color="auto"/>
            <w:right w:val="none" w:sz="0" w:space="0" w:color="auto"/>
          </w:divBdr>
        </w:div>
        <w:div w:id="339357388">
          <w:marLeft w:val="0"/>
          <w:marRight w:val="0"/>
          <w:marTop w:val="0"/>
          <w:marBottom w:val="0"/>
          <w:divBdr>
            <w:top w:val="none" w:sz="0" w:space="0" w:color="auto"/>
            <w:left w:val="none" w:sz="0" w:space="0" w:color="auto"/>
            <w:bottom w:val="none" w:sz="0" w:space="0" w:color="auto"/>
            <w:right w:val="none" w:sz="0" w:space="0" w:color="auto"/>
          </w:divBdr>
        </w:div>
        <w:div w:id="371002801">
          <w:marLeft w:val="0"/>
          <w:marRight w:val="0"/>
          <w:marTop w:val="0"/>
          <w:marBottom w:val="0"/>
          <w:divBdr>
            <w:top w:val="none" w:sz="0" w:space="0" w:color="auto"/>
            <w:left w:val="none" w:sz="0" w:space="0" w:color="auto"/>
            <w:bottom w:val="none" w:sz="0" w:space="0" w:color="auto"/>
            <w:right w:val="none" w:sz="0" w:space="0" w:color="auto"/>
          </w:divBdr>
        </w:div>
        <w:div w:id="519321348">
          <w:marLeft w:val="0"/>
          <w:marRight w:val="0"/>
          <w:marTop w:val="0"/>
          <w:marBottom w:val="0"/>
          <w:divBdr>
            <w:top w:val="none" w:sz="0" w:space="0" w:color="auto"/>
            <w:left w:val="none" w:sz="0" w:space="0" w:color="auto"/>
            <w:bottom w:val="none" w:sz="0" w:space="0" w:color="auto"/>
            <w:right w:val="none" w:sz="0" w:space="0" w:color="auto"/>
          </w:divBdr>
        </w:div>
        <w:div w:id="539897853">
          <w:marLeft w:val="0"/>
          <w:marRight w:val="0"/>
          <w:marTop w:val="0"/>
          <w:marBottom w:val="0"/>
          <w:divBdr>
            <w:top w:val="none" w:sz="0" w:space="0" w:color="auto"/>
            <w:left w:val="none" w:sz="0" w:space="0" w:color="auto"/>
            <w:bottom w:val="none" w:sz="0" w:space="0" w:color="auto"/>
            <w:right w:val="none" w:sz="0" w:space="0" w:color="auto"/>
          </w:divBdr>
        </w:div>
        <w:div w:id="629897027">
          <w:marLeft w:val="0"/>
          <w:marRight w:val="0"/>
          <w:marTop w:val="0"/>
          <w:marBottom w:val="0"/>
          <w:divBdr>
            <w:top w:val="none" w:sz="0" w:space="0" w:color="auto"/>
            <w:left w:val="none" w:sz="0" w:space="0" w:color="auto"/>
            <w:bottom w:val="none" w:sz="0" w:space="0" w:color="auto"/>
            <w:right w:val="none" w:sz="0" w:space="0" w:color="auto"/>
          </w:divBdr>
        </w:div>
        <w:div w:id="652871147">
          <w:marLeft w:val="0"/>
          <w:marRight w:val="0"/>
          <w:marTop w:val="0"/>
          <w:marBottom w:val="0"/>
          <w:divBdr>
            <w:top w:val="none" w:sz="0" w:space="0" w:color="auto"/>
            <w:left w:val="none" w:sz="0" w:space="0" w:color="auto"/>
            <w:bottom w:val="none" w:sz="0" w:space="0" w:color="auto"/>
            <w:right w:val="none" w:sz="0" w:space="0" w:color="auto"/>
          </w:divBdr>
        </w:div>
        <w:div w:id="844318580">
          <w:marLeft w:val="0"/>
          <w:marRight w:val="0"/>
          <w:marTop w:val="0"/>
          <w:marBottom w:val="0"/>
          <w:divBdr>
            <w:top w:val="none" w:sz="0" w:space="0" w:color="auto"/>
            <w:left w:val="none" w:sz="0" w:space="0" w:color="auto"/>
            <w:bottom w:val="none" w:sz="0" w:space="0" w:color="auto"/>
            <w:right w:val="none" w:sz="0" w:space="0" w:color="auto"/>
          </w:divBdr>
        </w:div>
        <w:div w:id="856970654">
          <w:marLeft w:val="0"/>
          <w:marRight w:val="0"/>
          <w:marTop w:val="0"/>
          <w:marBottom w:val="0"/>
          <w:divBdr>
            <w:top w:val="none" w:sz="0" w:space="0" w:color="auto"/>
            <w:left w:val="none" w:sz="0" w:space="0" w:color="auto"/>
            <w:bottom w:val="none" w:sz="0" w:space="0" w:color="auto"/>
            <w:right w:val="none" w:sz="0" w:space="0" w:color="auto"/>
          </w:divBdr>
        </w:div>
        <w:div w:id="968631340">
          <w:marLeft w:val="0"/>
          <w:marRight w:val="0"/>
          <w:marTop w:val="0"/>
          <w:marBottom w:val="0"/>
          <w:divBdr>
            <w:top w:val="none" w:sz="0" w:space="0" w:color="auto"/>
            <w:left w:val="none" w:sz="0" w:space="0" w:color="auto"/>
            <w:bottom w:val="none" w:sz="0" w:space="0" w:color="auto"/>
            <w:right w:val="none" w:sz="0" w:space="0" w:color="auto"/>
          </w:divBdr>
        </w:div>
        <w:div w:id="1014068734">
          <w:marLeft w:val="0"/>
          <w:marRight w:val="0"/>
          <w:marTop w:val="0"/>
          <w:marBottom w:val="0"/>
          <w:divBdr>
            <w:top w:val="none" w:sz="0" w:space="0" w:color="auto"/>
            <w:left w:val="none" w:sz="0" w:space="0" w:color="auto"/>
            <w:bottom w:val="none" w:sz="0" w:space="0" w:color="auto"/>
            <w:right w:val="none" w:sz="0" w:space="0" w:color="auto"/>
          </w:divBdr>
        </w:div>
        <w:div w:id="1082264544">
          <w:marLeft w:val="0"/>
          <w:marRight w:val="0"/>
          <w:marTop w:val="0"/>
          <w:marBottom w:val="0"/>
          <w:divBdr>
            <w:top w:val="none" w:sz="0" w:space="0" w:color="auto"/>
            <w:left w:val="none" w:sz="0" w:space="0" w:color="auto"/>
            <w:bottom w:val="none" w:sz="0" w:space="0" w:color="auto"/>
            <w:right w:val="none" w:sz="0" w:space="0" w:color="auto"/>
          </w:divBdr>
        </w:div>
        <w:div w:id="1129663285">
          <w:marLeft w:val="0"/>
          <w:marRight w:val="0"/>
          <w:marTop w:val="0"/>
          <w:marBottom w:val="0"/>
          <w:divBdr>
            <w:top w:val="none" w:sz="0" w:space="0" w:color="auto"/>
            <w:left w:val="none" w:sz="0" w:space="0" w:color="auto"/>
            <w:bottom w:val="none" w:sz="0" w:space="0" w:color="auto"/>
            <w:right w:val="none" w:sz="0" w:space="0" w:color="auto"/>
          </w:divBdr>
        </w:div>
        <w:div w:id="1174875647">
          <w:marLeft w:val="0"/>
          <w:marRight w:val="0"/>
          <w:marTop w:val="0"/>
          <w:marBottom w:val="0"/>
          <w:divBdr>
            <w:top w:val="none" w:sz="0" w:space="0" w:color="auto"/>
            <w:left w:val="none" w:sz="0" w:space="0" w:color="auto"/>
            <w:bottom w:val="none" w:sz="0" w:space="0" w:color="auto"/>
            <w:right w:val="none" w:sz="0" w:space="0" w:color="auto"/>
          </w:divBdr>
        </w:div>
        <w:div w:id="1324894223">
          <w:marLeft w:val="0"/>
          <w:marRight w:val="0"/>
          <w:marTop w:val="0"/>
          <w:marBottom w:val="0"/>
          <w:divBdr>
            <w:top w:val="none" w:sz="0" w:space="0" w:color="auto"/>
            <w:left w:val="none" w:sz="0" w:space="0" w:color="auto"/>
            <w:bottom w:val="none" w:sz="0" w:space="0" w:color="auto"/>
            <w:right w:val="none" w:sz="0" w:space="0" w:color="auto"/>
          </w:divBdr>
        </w:div>
        <w:div w:id="1329290909">
          <w:marLeft w:val="0"/>
          <w:marRight w:val="0"/>
          <w:marTop w:val="0"/>
          <w:marBottom w:val="0"/>
          <w:divBdr>
            <w:top w:val="none" w:sz="0" w:space="0" w:color="auto"/>
            <w:left w:val="none" w:sz="0" w:space="0" w:color="auto"/>
            <w:bottom w:val="none" w:sz="0" w:space="0" w:color="auto"/>
            <w:right w:val="none" w:sz="0" w:space="0" w:color="auto"/>
          </w:divBdr>
        </w:div>
        <w:div w:id="1493570525">
          <w:marLeft w:val="0"/>
          <w:marRight w:val="0"/>
          <w:marTop w:val="0"/>
          <w:marBottom w:val="0"/>
          <w:divBdr>
            <w:top w:val="none" w:sz="0" w:space="0" w:color="auto"/>
            <w:left w:val="none" w:sz="0" w:space="0" w:color="auto"/>
            <w:bottom w:val="none" w:sz="0" w:space="0" w:color="auto"/>
            <w:right w:val="none" w:sz="0" w:space="0" w:color="auto"/>
          </w:divBdr>
        </w:div>
        <w:div w:id="1507281847">
          <w:marLeft w:val="0"/>
          <w:marRight w:val="0"/>
          <w:marTop w:val="0"/>
          <w:marBottom w:val="0"/>
          <w:divBdr>
            <w:top w:val="none" w:sz="0" w:space="0" w:color="auto"/>
            <w:left w:val="none" w:sz="0" w:space="0" w:color="auto"/>
            <w:bottom w:val="none" w:sz="0" w:space="0" w:color="auto"/>
            <w:right w:val="none" w:sz="0" w:space="0" w:color="auto"/>
          </w:divBdr>
        </w:div>
        <w:div w:id="1932812025">
          <w:marLeft w:val="0"/>
          <w:marRight w:val="0"/>
          <w:marTop w:val="0"/>
          <w:marBottom w:val="0"/>
          <w:divBdr>
            <w:top w:val="none" w:sz="0" w:space="0" w:color="auto"/>
            <w:left w:val="none" w:sz="0" w:space="0" w:color="auto"/>
            <w:bottom w:val="none" w:sz="0" w:space="0" w:color="auto"/>
            <w:right w:val="none" w:sz="0" w:space="0" w:color="auto"/>
          </w:divBdr>
        </w:div>
        <w:div w:id="2003699991">
          <w:marLeft w:val="0"/>
          <w:marRight w:val="0"/>
          <w:marTop w:val="0"/>
          <w:marBottom w:val="0"/>
          <w:divBdr>
            <w:top w:val="none" w:sz="0" w:space="0" w:color="auto"/>
            <w:left w:val="none" w:sz="0" w:space="0" w:color="auto"/>
            <w:bottom w:val="none" w:sz="0" w:space="0" w:color="auto"/>
            <w:right w:val="none" w:sz="0" w:space="0" w:color="auto"/>
          </w:divBdr>
        </w:div>
        <w:div w:id="2006861431">
          <w:marLeft w:val="0"/>
          <w:marRight w:val="0"/>
          <w:marTop w:val="0"/>
          <w:marBottom w:val="0"/>
          <w:divBdr>
            <w:top w:val="none" w:sz="0" w:space="0" w:color="auto"/>
            <w:left w:val="none" w:sz="0" w:space="0" w:color="auto"/>
            <w:bottom w:val="none" w:sz="0" w:space="0" w:color="auto"/>
            <w:right w:val="none" w:sz="0" w:space="0" w:color="auto"/>
          </w:divBdr>
        </w:div>
        <w:div w:id="2132240838">
          <w:marLeft w:val="0"/>
          <w:marRight w:val="0"/>
          <w:marTop w:val="0"/>
          <w:marBottom w:val="0"/>
          <w:divBdr>
            <w:top w:val="none" w:sz="0" w:space="0" w:color="auto"/>
            <w:left w:val="none" w:sz="0" w:space="0" w:color="auto"/>
            <w:bottom w:val="none" w:sz="0" w:space="0" w:color="auto"/>
            <w:right w:val="none" w:sz="0" w:space="0" w:color="auto"/>
          </w:divBdr>
        </w:div>
        <w:div w:id="2135250376">
          <w:marLeft w:val="0"/>
          <w:marRight w:val="0"/>
          <w:marTop w:val="0"/>
          <w:marBottom w:val="0"/>
          <w:divBdr>
            <w:top w:val="none" w:sz="0" w:space="0" w:color="auto"/>
            <w:left w:val="none" w:sz="0" w:space="0" w:color="auto"/>
            <w:bottom w:val="none" w:sz="0" w:space="0" w:color="auto"/>
            <w:right w:val="none" w:sz="0" w:space="0" w:color="auto"/>
          </w:divBdr>
        </w:div>
      </w:divsChild>
    </w:div>
    <w:div w:id="1178271898">
      <w:bodyDiv w:val="1"/>
      <w:marLeft w:val="0"/>
      <w:marRight w:val="0"/>
      <w:marTop w:val="0"/>
      <w:marBottom w:val="0"/>
      <w:divBdr>
        <w:top w:val="none" w:sz="0" w:space="0" w:color="auto"/>
        <w:left w:val="none" w:sz="0" w:space="0" w:color="auto"/>
        <w:bottom w:val="none" w:sz="0" w:space="0" w:color="auto"/>
        <w:right w:val="none" w:sz="0" w:space="0" w:color="auto"/>
      </w:divBdr>
      <w:divsChild>
        <w:div w:id="1879321361">
          <w:marLeft w:val="0"/>
          <w:marRight w:val="0"/>
          <w:marTop w:val="0"/>
          <w:marBottom w:val="60"/>
          <w:divBdr>
            <w:top w:val="none" w:sz="0" w:space="0" w:color="auto"/>
            <w:left w:val="none" w:sz="0" w:space="0" w:color="auto"/>
            <w:bottom w:val="none" w:sz="0" w:space="0" w:color="auto"/>
            <w:right w:val="none" w:sz="0" w:space="0" w:color="auto"/>
          </w:divBdr>
        </w:div>
      </w:divsChild>
    </w:div>
    <w:div w:id="1189830434">
      <w:bodyDiv w:val="1"/>
      <w:marLeft w:val="0"/>
      <w:marRight w:val="0"/>
      <w:marTop w:val="0"/>
      <w:marBottom w:val="0"/>
      <w:divBdr>
        <w:top w:val="none" w:sz="0" w:space="0" w:color="auto"/>
        <w:left w:val="none" w:sz="0" w:space="0" w:color="auto"/>
        <w:bottom w:val="none" w:sz="0" w:space="0" w:color="auto"/>
        <w:right w:val="none" w:sz="0" w:space="0" w:color="auto"/>
      </w:divBdr>
    </w:div>
    <w:div w:id="1206865661">
      <w:bodyDiv w:val="1"/>
      <w:marLeft w:val="0"/>
      <w:marRight w:val="0"/>
      <w:marTop w:val="0"/>
      <w:marBottom w:val="0"/>
      <w:divBdr>
        <w:top w:val="none" w:sz="0" w:space="0" w:color="auto"/>
        <w:left w:val="none" w:sz="0" w:space="0" w:color="auto"/>
        <w:bottom w:val="none" w:sz="0" w:space="0" w:color="auto"/>
        <w:right w:val="none" w:sz="0" w:space="0" w:color="auto"/>
      </w:divBdr>
    </w:div>
    <w:div w:id="1278289891">
      <w:bodyDiv w:val="1"/>
      <w:marLeft w:val="0"/>
      <w:marRight w:val="0"/>
      <w:marTop w:val="0"/>
      <w:marBottom w:val="0"/>
      <w:divBdr>
        <w:top w:val="none" w:sz="0" w:space="0" w:color="auto"/>
        <w:left w:val="none" w:sz="0" w:space="0" w:color="auto"/>
        <w:bottom w:val="none" w:sz="0" w:space="0" w:color="auto"/>
        <w:right w:val="none" w:sz="0" w:space="0" w:color="auto"/>
      </w:divBdr>
      <w:divsChild>
        <w:div w:id="255745603">
          <w:marLeft w:val="0"/>
          <w:marRight w:val="0"/>
          <w:marTop w:val="0"/>
          <w:marBottom w:val="0"/>
          <w:divBdr>
            <w:top w:val="none" w:sz="0" w:space="0" w:color="auto"/>
            <w:left w:val="none" w:sz="0" w:space="0" w:color="auto"/>
            <w:bottom w:val="none" w:sz="0" w:space="0" w:color="auto"/>
            <w:right w:val="none" w:sz="0" w:space="0" w:color="auto"/>
          </w:divBdr>
        </w:div>
      </w:divsChild>
    </w:div>
    <w:div w:id="1312173808">
      <w:bodyDiv w:val="1"/>
      <w:marLeft w:val="0"/>
      <w:marRight w:val="0"/>
      <w:marTop w:val="0"/>
      <w:marBottom w:val="0"/>
      <w:divBdr>
        <w:top w:val="none" w:sz="0" w:space="0" w:color="auto"/>
        <w:left w:val="none" w:sz="0" w:space="0" w:color="auto"/>
        <w:bottom w:val="none" w:sz="0" w:space="0" w:color="auto"/>
        <w:right w:val="none" w:sz="0" w:space="0" w:color="auto"/>
      </w:divBdr>
    </w:div>
    <w:div w:id="1488352948">
      <w:bodyDiv w:val="1"/>
      <w:marLeft w:val="0"/>
      <w:marRight w:val="0"/>
      <w:marTop w:val="0"/>
      <w:marBottom w:val="0"/>
      <w:divBdr>
        <w:top w:val="none" w:sz="0" w:space="0" w:color="auto"/>
        <w:left w:val="none" w:sz="0" w:space="0" w:color="auto"/>
        <w:bottom w:val="none" w:sz="0" w:space="0" w:color="auto"/>
        <w:right w:val="none" w:sz="0" w:space="0" w:color="auto"/>
      </w:divBdr>
      <w:divsChild>
        <w:div w:id="422143963">
          <w:marLeft w:val="605"/>
          <w:marRight w:val="0"/>
          <w:marTop w:val="40"/>
          <w:marBottom w:val="80"/>
          <w:divBdr>
            <w:top w:val="none" w:sz="0" w:space="0" w:color="auto"/>
            <w:left w:val="none" w:sz="0" w:space="0" w:color="auto"/>
            <w:bottom w:val="none" w:sz="0" w:space="0" w:color="auto"/>
            <w:right w:val="none" w:sz="0" w:space="0" w:color="auto"/>
          </w:divBdr>
        </w:div>
        <w:div w:id="585382798">
          <w:marLeft w:val="144"/>
          <w:marRight w:val="0"/>
          <w:marTop w:val="240"/>
          <w:marBottom w:val="40"/>
          <w:divBdr>
            <w:top w:val="none" w:sz="0" w:space="0" w:color="auto"/>
            <w:left w:val="none" w:sz="0" w:space="0" w:color="auto"/>
            <w:bottom w:val="none" w:sz="0" w:space="0" w:color="auto"/>
            <w:right w:val="none" w:sz="0" w:space="0" w:color="auto"/>
          </w:divBdr>
        </w:div>
        <w:div w:id="1703432493">
          <w:marLeft w:val="605"/>
          <w:marRight w:val="0"/>
          <w:marTop w:val="40"/>
          <w:marBottom w:val="80"/>
          <w:divBdr>
            <w:top w:val="none" w:sz="0" w:space="0" w:color="auto"/>
            <w:left w:val="none" w:sz="0" w:space="0" w:color="auto"/>
            <w:bottom w:val="none" w:sz="0" w:space="0" w:color="auto"/>
            <w:right w:val="none" w:sz="0" w:space="0" w:color="auto"/>
          </w:divBdr>
        </w:div>
        <w:div w:id="1785072535">
          <w:marLeft w:val="144"/>
          <w:marRight w:val="0"/>
          <w:marTop w:val="240"/>
          <w:marBottom w:val="40"/>
          <w:divBdr>
            <w:top w:val="none" w:sz="0" w:space="0" w:color="auto"/>
            <w:left w:val="none" w:sz="0" w:space="0" w:color="auto"/>
            <w:bottom w:val="none" w:sz="0" w:space="0" w:color="auto"/>
            <w:right w:val="none" w:sz="0" w:space="0" w:color="auto"/>
          </w:divBdr>
        </w:div>
      </w:divsChild>
    </w:div>
    <w:div w:id="1565682505">
      <w:bodyDiv w:val="1"/>
      <w:marLeft w:val="0"/>
      <w:marRight w:val="0"/>
      <w:marTop w:val="0"/>
      <w:marBottom w:val="0"/>
      <w:divBdr>
        <w:top w:val="none" w:sz="0" w:space="0" w:color="auto"/>
        <w:left w:val="none" w:sz="0" w:space="0" w:color="auto"/>
        <w:bottom w:val="none" w:sz="0" w:space="0" w:color="auto"/>
        <w:right w:val="none" w:sz="0" w:space="0" w:color="auto"/>
      </w:divBdr>
    </w:div>
    <w:div w:id="1643195197">
      <w:bodyDiv w:val="1"/>
      <w:marLeft w:val="0"/>
      <w:marRight w:val="0"/>
      <w:marTop w:val="0"/>
      <w:marBottom w:val="0"/>
      <w:divBdr>
        <w:top w:val="none" w:sz="0" w:space="0" w:color="auto"/>
        <w:left w:val="none" w:sz="0" w:space="0" w:color="auto"/>
        <w:bottom w:val="none" w:sz="0" w:space="0" w:color="auto"/>
        <w:right w:val="none" w:sz="0" w:space="0" w:color="auto"/>
      </w:divBdr>
    </w:div>
    <w:div w:id="1716854064">
      <w:bodyDiv w:val="1"/>
      <w:marLeft w:val="0"/>
      <w:marRight w:val="0"/>
      <w:marTop w:val="0"/>
      <w:marBottom w:val="0"/>
      <w:divBdr>
        <w:top w:val="none" w:sz="0" w:space="0" w:color="auto"/>
        <w:left w:val="none" w:sz="0" w:space="0" w:color="auto"/>
        <w:bottom w:val="none" w:sz="0" w:space="0" w:color="auto"/>
        <w:right w:val="none" w:sz="0" w:space="0" w:color="auto"/>
      </w:divBdr>
      <w:divsChild>
        <w:div w:id="526141194">
          <w:marLeft w:val="0"/>
          <w:marRight w:val="0"/>
          <w:marTop w:val="0"/>
          <w:marBottom w:val="0"/>
          <w:divBdr>
            <w:top w:val="none" w:sz="0" w:space="0" w:color="auto"/>
            <w:left w:val="none" w:sz="0" w:space="0" w:color="auto"/>
            <w:bottom w:val="none" w:sz="0" w:space="0" w:color="auto"/>
            <w:right w:val="none" w:sz="0" w:space="0" w:color="auto"/>
          </w:divBdr>
        </w:div>
      </w:divsChild>
    </w:div>
    <w:div w:id="1776175742">
      <w:bodyDiv w:val="1"/>
      <w:marLeft w:val="0"/>
      <w:marRight w:val="0"/>
      <w:marTop w:val="0"/>
      <w:marBottom w:val="0"/>
      <w:divBdr>
        <w:top w:val="none" w:sz="0" w:space="0" w:color="auto"/>
        <w:left w:val="none" w:sz="0" w:space="0" w:color="auto"/>
        <w:bottom w:val="none" w:sz="0" w:space="0" w:color="auto"/>
        <w:right w:val="none" w:sz="0" w:space="0" w:color="auto"/>
      </w:divBdr>
    </w:div>
    <w:div w:id="1838691633">
      <w:bodyDiv w:val="1"/>
      <w:marLeft w:val="0"/>
      <w:marRight w:val="0"/>
      <w:marTop w:val="0"/>
      <w:marBottom w:val="0"/>
      <w:divBdr>
        <w:top w:val="none" w:sz="0" w:space="0" w:color="auto"/>
        <w:left w:val="none" w:sz="0" w:space="0" w:color="auto"/>
        <w:bottom w:val="none" w:sz="0" w:space="0" w:color="auto"/>
        <w:right w:val="none" w:sz="0" w:space="0" w:color="auto"/>
      </w:divBdr>
    </w:div>
    <w:div w:id="1875268164">
      <w:bodyDiv w:val="1"/>
      <w:marLeft w:val="0"/>
      <w:marRight w:val="0"/>
      <w:marTop w:val="0"/>
      <w:marBottom w:val="0"/>
      <w:divBdr>
        <w:top w:val="none" w:sz="0" w:space="0" w:color="auto"/>
        <w:left w:val="none" w:sz="0" w:space="0" w:color="auto"/>
        <w:bottom w:val="none" w:sz="0" w:space="0" w:color="auto"/>
        <w:right w:val="none" w:sz="0" w:space="0" w:color="auto"/>
      </w:divBdr>
    </w:div>
    <w:div w:id="1927297307">
      <w:bodyDiv w:val="1"/>
      <w:marLeft w:val="0"/>
      <w:marRight w:val="0"/>
      <w:marTop w:val="0"/>
      <w:marBottom w:val="0"/>
      <w:divBdr>
        <w:top w:val="none" w:sz="0" w:space="0" w:color="auto"/>
        <w:left w:val="none" w:sz="0" w:space="0" w:color="auto"/>
        <w:bottom w:val="none" w:sz="0" w:space="0" w:color="auto"/>
        <w:right w:val="none" w:sz="0" w:space="0" w:color="auto"/>
      </w:divBdr>
      <w:divsChild>
        <w:div w:id="207572504">
          <w:marLeft w:val="605"/>
          <w:marRight w:val="0"/>
          <w:marTop w:val="40"/>
          <w:marBottom w:val="80"/>
          <w:divBdr>
            <w:top w:val="none" w:sz="0" w:space="0" w:color="auto"/>
            <w:left w:val="none" w:sz="0" w:space="0" w:color="auto"/>
            <w:bottom w:val="none" w:sz="0" w:space="0" w:color="auto"/>
            <w:right w:val="none" w:sz="0" w:space="0" w:color="auto"/>
          </w:divBdr>
        </w:div>
        <w:div w:id="489295273">
          <w:marLeft w:val="605"/>
          <w:marRight w:val="0"/>
          <w:marTop w:val="40"/>
          <w:marBottom w:val="80"/>
          <w:divBdr>
            <w:top w:val="none" w:sz="0" w:space="0" w:color="auto"/>
            <w:left w:val="none" w:sz="0" w:space="0" w:color="auto"/>
            <w:bottom w:val="none" w:sz="0" w:space="0" w:color="auto"/>
            <w:right w:val="none" w:sz="0" w:space="0" w:color="auto"/>
          </w:divBdr>
        </w:div>
        <w:div w:id="557909243">
          <w:marLeft w:val="605"/>
          <w:marRight w:val="0"/>
          <w:marTop w:val="40"/>
          <w:marBottom w:val="80"/>
          <w:divBdr>
            <w:top w:val="none" w:sz="0" w:space="0" w:color="auto"/>
            <w:left w:val="none" w:sz="0" w:space="0" w:color="auto"/>
            <w:bottom w:val="none" w:sz="0" w:space="0" w:color="auto"/>
            <w:right w:val="none" w:sz="0" w:space="0" w:color="auto"/>
          </w:divBdr>
        </w:div>
        <w:div w:id="633484184">
          <w:marLeft w:val="605"/>
          <w:marRight w:val="0"/>
          <w:marTop w:val="40"/>
          <w:marBottom w:val="80"/>
          <w:divBdr>
            <w:top w:val="none" w:sz="0" w:space="0" w:color="auto"/>
            <w:left w:val="none" w:sz="0" w:space="0" w:color="auto"/>
            <w:bottom w:val="none" w:sz="0" w:space="0" w:color="auto"/>
            <w:right w:val="none" w:sz="0" w:space="0" w:color="auto"/>
          </w:divBdr>
        </w:div>
        <w:div w:id="683017389">
          <w:marLeft w:val="144"/>
          <w:marRight w:val="0"/>
          <w:marTop w:val="240"/>
          <w:marBottom w:val="40"/>
          <w:divBdr>
            <w:top w:val="none" w:sz="0" w:space="0" w:color="auto"/>
            <w:left w:val="none" w:sz="0" w:space="0" w:color="auto"/>
            <w:bottom w:val="none" w:sz="0" w:space="0" w:color="auto"/>
            <w:right w:val="none" w:sz="0" w:space="0" w:color="auto"/>
          </w:divBdr>
        </w:div>
        <w:div w:id="719473458">
          <w:marLeft w:val="144"/>
          <w:marRight w:val="0"/>
          <w:marTop w:val="240"/>
          <w:marBottom w:val="40"/>
          <w:divBdr>
            <w:top w:val="none" w:sz="0" w:space="0" w:color="auto"/>
            <w:left w:val="none" w:sz="0" w:space="0" w:color="auto"/>
            <w:bottom w:val="none" w:sz="0" w:space="0" w:color="auto"/>
            <w:right w:val="none" w:sz="0" w:space="0" w:color="auto"/>
          </w:divBdr>
        </w:div>
        <w:div w:id="779880057">
          <w:marLeft w:val="144"/>
          <w:marRight w:val="0"/>
          <w:marTop w:val="240"/>
          <w:marBottom w:val="40"/>
          <w:divBdr>
            <w:top w:val="none" w:sz="0" w:space="0" w:color="auto"/>
            <w:left w:val="none" w:sz="0" w:space="0" w:color="auto"/>
            <w:bottom w:val="none" w:sz="0" w:space="0" w:color="auto"/>
            <w:right w:val="none" w:sz="0" w:space="0" w:color="auto"/>
          </w:divBdr>
        </w:div>
        <w:div w:id="847334992">
          <w:marLeft w:val="605"/>
          <w:marRight w:val="0"/>
          <w:marTop w:val="40"/>
          <w:marBottom w:val="80"/>
          <w:divBdr>
            <w:top w:val="none" w:sz="0" w:space="0" w:color="auto"/>
            <w:left w:val="none" w:sz="0" w:space="0" w:color="auto"/>
            <w:bottom w:val="none" w:sz="0" w:space="0" w:color="auto"/>
            <w:right w:val="none" w:sz="0" w:space="0" w:color="auto"/>
          </w:divBdr>
        </w:div>
        <w:div w:id="1667829520">
          <w:marLeft w:val="605"/>
          <w:marRight w:val="0"/>
          <w:marTop w:val="40"/>
          <w:marBottom w:val="80"/>
          <w:divBdr>
            <w:top w:val="none" w:sz="0" w:space="0" w:color="auto"/>
            <w:left w:val="none" w:sz="0" w:space="0" w:color="auto"/>
            <w:bottom w:val="none" w:sz="0" w:space="0" w:color="auto"/>
            <w:right w:val="none" w:sz="0" w:space="0" w:color="auto"/>
          </w:divBdr>
        </w:div>
        <w:div w:id="2122145152">
          <w:marLeft w:val="144"/>
          <w:marRight w:val="0"/>
          <w:marTop w:val="240"/>
          <w:marBottom w:val="40"/>
          <w:divBdr>
            <w:top w:val="none" w:sz="0" w:space="0" w:color="auto"/>
            <w:left w:val="none" w:sz="0" w:space="0" w:color="auto"/>
            <w:bottom w:val="none" w:sz="0" w:space="0" w:color="auto"/>
            <w:right w:val="none" w:sz="0" w:space="0" w:color="auto"/>
          </w:divBdr>
        </w:div>
      </w:divsChild>
    </w:div>
    <w:div w:id="208221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loudlights.de/beratung" TargetMode="External"/><Relationship Id="rId18" Type="http://schemas.openxmlformats.org/officeDocument/2006/relationships/hyperlink" Target="https://eur-lex.europa.eu/eli/reg/2016/679/oj?locale=de" TargetMode="External"/><Relationship Id="rId26" Type="http://schemas.openxmlformats.org/officeDocument/2006/relationships/hyperlink" Target="https://learn.microsoft.com/en-us/purview/audit-copilot" TargetMode="External"/><Relationship Id="rId21" Type="http://schemas.openxmlformats.org/officeDocument/2006/relationships/hyperlink" Target="https://digital-strategy.ec.europa.eu/en/faqs/transparency-obligations-under-article-50-ai-act" TargetMode="External"/><Relationship Id="rId34" Type="http://schemas.openxmlformats.org/officeDocument/2006/relationships/hyperlink" Target="https://www.cloudlights.de/Microsoft365" TargetMode="External"/><Relationship Id="rId7" Type="http://schemas.openxmlformats.org/officeDocument/2006/relationships/hyperlink" Target="https://learn.microsoft.com/en-us/entra/agent-id/manage-agent-identities-admin" TargetMode="External"/><Relationship Id="rId12" Type="http://schemas.openxmlformats.org/officeDocument/2006/relationships/hyperlink" Target="https://outlook.office.com/bookwithme/user/a150512228aa48858b0c97c8861dcdf7@cloudlights.de/meetingtype/ZoixrE1vk0GcdYLa-msRRQ2?bookingcode=05fcd462-aa02-45c7-ba1e-b877eed37832&amp;anonymous&amp;ismsaljsauthenabled&amp;ep=mLinkFromTile" TargetMode="External"/><Relationship Id="rId17" Type="http://schemas.openxmlformats.org/officeDocument/2006/relationships/hyperlink" Target="https://eur-lex.europa.eu/eli/reg/2026/1744/oj/eng" TargetMode="External"/><Relationship Id="rId25" Type="http://schemas.openxmlformats.org/officeDocument/2006/relationships/hyperlink" Target="https://learn.microsoft.com/en-us/purview/dlp-microsoft365-copilot-location-learn-about" TargetMode="External"/><Relationship Id="rId33" Type="http://schemas.openxmlformats.org/officeDocument/2006/relationships/hyperlink" Target="https://www.cloudlights.de/kontakt"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ur-lex.europa.eu/eli/reg/2024/1689/oj/eng" TargetMode="External"/><Relationship Id="rId20" Type="http://schemas.openxmlformats.org/officeDocument/2006/relationships/hyperlink" Target="https://digital-strategy.ec.europa.eu/en/library/guidelines-transparency-obligations-providers-and-deployers-ai-systems" TargetMode="External"/><Relationship Id="rId29" Type="http://schemas.openxmlformats.org/officeDocument/2006/relationships/hyperlink" Target="https://learn.microsoft.com/en-us/entra/agent-id/manage-agent-identities-admi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loudlights.de/Microsoft365" TargetMode="External"/><Relationship Id="rId24" Type="http://schemas.openxmlformats.org/officeDocument/2006/relationships/hyperlink" Target="https://learn.microsoft.com/en-us/microsoft-365/copilot/microsoft-365-copilot-architecture-data-protection-auditing" TargetMode="External"/><Relationship Id="rId32" Type="http://schemas.openxmlformats.org/officeDocument/2006/relationships/hyperlink" Target="https://learn.microsoft.com/en-us/microsoft-copilot-studio/admin-use-entra-agent-identitie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ur-lex.europa.eu/legal-content/EN/TXT/?uri=CELEX%3A02024R1689-20260727" TargetMode="External"/><Relationship Id="rId23" Type="http://schemas.openxmlformats.org/officeDocument/2006/relationships/hyperlink" Target="https://learn.microsoft.com/en-us/microsoft-365/copilot/enterprise-data-protection" TargetMode="External"/><Relationship Id="rId28" Type="http://schemas.openxmlformats.org/officeDocument/2006/relationships/hyperlink" Target="https://learn.microsoft.com/en-us/microsoft-365/copilot/agent-essentials/agent-essentials-overview" TargetMode="External"/><Relationship Id="rId36" Type="http://schemas.openxmlformats.org/officeDocument/2006/relationships/footer" Target="footer1.xml"/><Relationship Id="rId10" Type="http://schemas.openxmlformats.org/officeDocument/2006/relationships/hyperlink" Target="https://outlook.office.com/bookwithme/user/a150512228aa48858b0c97c8861dcdf7@cloudlights.de/meetingtype/ZoixrE1vk0GcdYLa-msRRQ2?bookingcode=05fcd462-aa02-45c7-ba1e-b877eed37832&amp;anonymous&amp;ismsaljsauthenabled&amp;ep=mLinkFromTile" TargetMode="External"/><Relationship Id="rId19" Type="http://schemas.openxmlformats.org/officeDocument/2006/relationships/hyperlink" Target="https://digital-strategy.ec.europa.eu/en/faqs/ai-literacy-questions-answers" TargetMode="External"/><Relationship Id="rId31" Type="http://schemas.openxmlformats.org/officeDocument/2006/relationships/hyperlink" Target="https://digital-strategy.ec.europa.eu/en/policies/code-practice-ai-generated-content" TargetMode="External"/><Relationship Id="rId4" Type="http://schemas.openxmlformats.org/officeDocument/2006/relationships/webSettings" Target="webSettings.xml"/><Relationship Id="rId9" Type="http://schemas.openxmlformats.org/officeDocument/2006/relationships/hyperlink" Target="https://www.cloudlights.de/beratung" TargetMode="External"/><Relationship Id="rId14" Type="http://schemas.openxmlformats.org/officeDocument/2006/relationships/hyperlink" Target="https://hub.cloudlights.de/checklisten/copilot-checkliste.html" TargetMode="External"/><Relationship Id="rId22" Type="http://schemas.openxmlformats.org/officeDocument/2006/relationships/hyperlink" Target="https://digital-strategy.ec.europa.eu/en/library/commission-publishes-guidelines-prohibited-artificial-intelligence-ai-practices-defined-ai-act" TargetMode="External"/><Relationship Id="rId27" Type="http://schemas.openxmlformats.org/officeDocument/2006/relationships/hyperlink" Target="https://learn.microsoft.com/en-us/microsoft-365/copilot/connectors/manage-access-permissions" TargetMode="External"/><Relationship Id="rId30" Type="http://schemas.openxmlformats.org/officeDocument/2006/relationships/hyperlink" Target="https://learn.microsoft.com/en-us/microsoft-365/copilot/secure-govern-copilot-foundational-deployment-guidance" TargetMode="External"/><Relationship Id="rId35" Type="http://schemas.openxmlformats.org/officeDocument/2006/relationships/header" Target="header1.xml"/><Relationship Id="rId8" Type="http://schemas.openxmlformats.org/officeDocument/2006/relationships/hyperlink" Target="https://outlook.office.com/bookwithme/user/a150512228aa48858b0c97c8861dcdf7@cloudlights.de/meetingtype/ZoixrE1vk0GcdYLa-msRRQ2?bookingcode=05fcd462-aa02-45c7-ba1e-b877eed37832&amp;anonymous&amp;ismsaljsauthenabled&amp;ep=mLinkFromTile"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loudlight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da44ef90-2db1-4b9a-aec4-ef1d0675f793}" enabled="1" method="Standard" siteId="{7f2b6338-ea4d-4dc6-bb1e-6f61ed46400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9</Pages>
  <Words>7695</Words>
  <Characters>48482</Characters>
  <Application>Microsoft Office Word</Application>
  <DocSecurity>0</DocSecurity>
  <Lines>404</Lines>
  <Paragraphs>112</Paragraphs>
  <ScaleCrop>false</ScaleCrop>
  <Company/>
  <LinksUpToDate>false</LinksUpToDate>
  <CharactersWithSpaces>56065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KI-Governance und Copilot-Einsatz im Unternehmen</dc:title>
  <dc:subject>Praxisleitfaden, Nutzungsleitlinie und Maßnahmenkatalog für Microsoft 365 Copilot</dc:subject>
  <dc:description>Öffentliche CloudLights-Fassung – Stand 4. August 2026</dc:description>
  <cp:lastModifiedBy>Philipp Kohnen</cp:lastModifiedBy>
  <cp:revision>8</cp:revision>
  <dcterms:created xsi:type="dcterms:W3CDTF">2026-08-04T09:04:00Z</dcterms:created>
  <dcterms:modified xsi:type="dcterms:W3CDTF">2026-08-05T07:09:00Z</dcterms:modified>
</cp:coreProperties>
</file>